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E7252">
      <w:pPr>
        <w:widowControl/>
        <w:shd w:val="clear" w:color="auto" w:fill="FFFFFF"/>
        <w:snapToGrid w:val="0"/>
        <w:jc w:val="center"/>
        <w:rPr>
          <w:b/>
          <w:sz w:val="32"/>
          <w:szCs w:val="32"/>
        </w:rPr>
      </w:pPr>
    </w:p>
    <w:p w14:paraId="7CE8558B">
      <w:pPr>
        <w:widowControl/>
        <w:shd w:val="clear" w:color="auto" w:fill="FFFFFF"/>
        <w:snapToGrid w:val="0"/>
        <w:ind w:right="-227" w:rightChars="-108"/>
        <w:jc w:val="center"/>
        <w:rPr>
          <w:b/>
          <w:color w:val="auto"/>
          <w:sz w:val="44"/>
          <w:szCs w:val="44"/>
          <w:highlight w:val="none"/>
        </w:rPr>
      </w:pPr>
      <w:bookmarkStart w:id="0" w:name="OLE_LINK4"/>
      <w:r>
        <w:rPr>
          <w:rFonts w:hint="eastAsia"/>
          <w:b/>
          <w:color w:val="auto"/>
          <w:sz w:val="44"/>
          <w:szCs w:val="44"/>
          <w:highlight w:val="none"/>
        </w:rPr>
        <w:t>漳州市东南部沿海地区九龙江调水工程</w:t>
      </w:r>
    </w:p>
    <w:p w14:paraId="5C10BB6D">
      <w:pPr>
        <w:widowControl/>
        <w:shd w:val="clear" w:color="auto" w:fill="FFFFFF"/>
        <w:snapToGrid w:val="0"/>
        <w:ind w:right="-227" w:rightChars="-108"/>
        <w:jc w:val="center"/>
        <w:rPr>
          <w:rFonts w:hint="default" w:eastAsiaTheme="minorEastAsia"/>
          <w:b/>
          <w:color w:val="auto"/>
          <w:sz w:val="44"/>
          <w:szCs w:val="44"/>
          <w:highlight w:val="none"/>
          <w:lang w:val="en-US" w:eastAsia="zh-CN"/>
        </w:rPr>
      </w:pPr>
      <w:r>
        <w:rPr>
          <w:rFonts w:hint="eastAsia"/>
          <w:b/>
          <w:color w:val="auto"/>
          <w:sz w:val="44"/>
          <w:szCs w:val="44"/>
          <w:highlight w:val="none"/>
        </w:rPr>
        <w:t>阀门类采购项目</w:t>
      </w:r>
      <w:r>
        <w:rPr>
          <w:rFonts w:hint="eastAsia"/>
          <w:b/>
          <w:color w:val="auto"/>
          <w:sz w:val="44"/>
          <w:szCs w:val="44"/>
          <w:highlight w:val="none"/>
          <w:lang w:eastAsia="zh-CN"/>
        </w:rPr>
        <w:t>（</w:t>
      </w:r>
      <w:r>
        <w:rPr>
          <w:rFonts w:hint="eastAsia"/>
          <w:b/>
          <w:color w:val="auto"/>
          <w:sz w:val="44"/>
          <w:szCs w:val="44"/>
          <w:highlight w:val="none"/>
          <w:lang w:val="en-US" w:eastAsia="zh-CN"/>
        </w:rPr>
        <w:t>重新招选）</w:t>
      </w:r>
    </w:p>
    <w:bookmarkEnd w:id="0"/>
    <w:p w14:paraId="568E761C">
      <w:pPr>
        <w:widowControl/>
        <w:shd w:val="clear" w:color="auto" w:fill="FFFFFF"/>
        <w:snapToGrid w:val="0"/>
        <w:jc w:val="center"/>
        <w:rPr>
          <w:b/>
          <w:color w:val="auto"/>
          <w:sz w:val="36"/>
          <w:szCs w:val="36"/>
          <w:highlight w:val="none"/>
        </w:rPr>
      </w:pPr>
    </w:p>
    <w:p w14:paraId="59E227AD">
      <w:pPr>
        <w:widowControl/>
        <w:shd w:val="clear" w:color="auto" w:fill="FFFFFF"/>
        <w:snapToGrid w:val="0"/>
        <w:jc w:val="center"/>
        <w:rPr>
          <w:b/>
          <w:color w:val="auto"/>
          <w:sz w:val="32"/>
          <w:szCs w:val="32"/>
          <w:highlight w:val="none"/>
        </w:rPr>
      </w:pPr>
    </w:p>
    <w:p w14:paraId="3FD88F01">
      <w:pPr>
        <w:widowControl/>
        <w:shd w:val="clear" w:color="auto" w:fill="FFFFFF"/>
        <w:snapToGrid w:val="0"/>
        <w:jc w:val="center"/>
        <w:rPr>
          <w:b/>
          <w:color w:val="auto"/>
          <w:sz w:val="32"/>
          <w:szCs w:val="32"/>
          <w:highlight w:val="none"/>
        </w:rPr>
      </w:pPr>
    </w:p>
    <w:p w14:paraId="7386F245">
      <w:pPr>
        <w:pStyle w:val="2"/>
        <w:rPr>
          <w:color w:val="auto"/>
          <w:highlight w:val="none"/>
        </w:rPr>
      </w:pPr>
    </w:p>
    <w:p w14:paraId="16A30DBA">
      <w:pPr>
        <w:widowControl/>
        <w:shd w:val="clear" w:color="auto" w:fill="FFFFFF"/>
        <w:snapToGrid w:val="0"/>
        <w:jc w:val="center"/>
        <w:rPr>
          <w:b/>
          <w:color w:val="auto"/>
          <w:sz w:val="32"/>
          <w:szCs w:val="32"/>
          <w:highlight w:val="none"/>
        </w:rPr>
      </w:pPr>
    </w:p>
    <w:p w14:paraId="63A58513">
      <w:pPr>
        <w:widowControl/>
        <w:shd w:val="clear" w:color="auto" w:fill="FFFFFF"/>
        <w:snapToGrid w:val="0"/>
        <w:jc w:val="center"/>
        <w:rPr>
          <w:b/>
          <w:color w:val="auto"/>
          <w:sz w:val="32"/>
          <w:szCs w:val="32"/>
          <w:highlight w:val="none"/>
        </w:rPr>
      </w:pPr>
    </w:p>
    <w:p w14:paraId="02460911">
      <w:pPr>
        <w:widowControl/>
        <w:shd w:val="clear" w:color="auto" w:fill="FFFFFF"/>
        <w:snapToGrid w:val="0"/>
        <w:jc w:val="center"/>
        <w:rPr>
          <w:b/>
          <w:color w:val="auto"/>
          <w:sz w:val="52"/>
          <w:szCs w:val="52"/>
          <w:highlight w:val="none"/>
        </w:rPr>
      </w:pPr>
      <w:r>
        <w:rPr>
          <w:rFonts w:hint="eastAsia"/>
          <w:b/>
          <w:color w:val="auto"/>
          <w:sz w:val="52"/>
          <w:szCs w:val="52"/>
          <w:highlight w:val="none"/>
        </w:rPr>
        <w:t>招</w:t>
      </w:r>
      <w:r>
        <w:rPr>
          <w:rFonts w:hint="eastAsia"/>
          <w:b/>
          <w:color w:val="auto"/>
          <w:sz w:val="52"/>
          <w:szCs w:val="52"/>
          <w:highlight w:val="none"/>
          <w:lang w:val="en-US" w:eastAsia="zh-CN"/>
        </w:rPr>
        <w:t>选</w:t>
      </w:r>
      <w:r>
        <w:rPr>
          <w:rFonts w:hint="eastAsia"/>
          <w:b/>
          <w:color w:val="auto"/>
          <w:sz w:val="52"/>
          <w:szCs w:val="52"/>
          <w:highlight w:val="none"/>
        </w:rPr>
        <w:t>文件</w:t>
      </w:r>
    </w:p>
    <w:p w14:paraId="34BFA412">
      <w:pPr>
        <w:widowControl/>
        <w:shd w:val="clear" w:color="auto" w:fill="FFFFFF"/>
        <w:snapToGrid w:val="0"/>
        <w:ind w:right="-227" w:rightChars="-108"/>
        <w:jc w:val="center"/>
        <w:rPr>
          <w:b/>
          <w:color w:val="auto"/>
          <w:sz w:val="36"/>
          <w:szCs w:val="36"/>
          <w:highlight w:val="none"/>
        </w:rPr>
      </w:pPr>
      <w:r>
        <w:rPr>
          <w:rFonts w:hint="eastAsia"/>
          <w:b/>
          <w:color w:val="auto"/>
          <w:sz w:val="36"/>
          <w:szCs w:val="36"/>
          <w:highlight w:val="none"/>
        </w:rPr>
        <w:t>（招</w:t>
      </w:r>
      <w:r>
        <w:rPr>
          <w:rFonts w:hint="eastAsia"/>
          <w:b/>
          <w:color w:val="auto"/>
          <w:sz w:val="36"/>
          <w:szCs w:val="36"/>
          <w:highlight w:val="none"/>
          <w:lang w:val="en-US" w:eastAsia="zh-CN"/>
        </w:rPr>
        <w:t>选</w:t>
      </w:r>
      <w:r>
        <w:rPr>
          <w:rFonts w:hint="eastAsia"/>
          <w:b/>
          <w:color w:val="auto"/>
          <w:sz w:val="36"/>
          <w:szCs w:val="36"/>
          <w:highlight w:val="none"/>
        </w:rPr>
        <w:t>编号：</w:t>
      </w:r>
      <w:r>
        <w:rPr>
          <w:rFonts w:hint="eastAsia"/>
          <w:b/>
          <w:color w:val="auto"/>
          <w:sz w:val="36"/>
          <w:szCs w:val="36"/>
          <w:highlight w:val="none"/>
          <w:lang w:val="en-US" w:eastAsia="zh-CN"/>
        </w:rPr>
        <w:t>SLSD</w:t>
      </w:r>
      <w:r>
        <w:rPr>
          <w:rFonts w:hint="eastAsia"/>
          <w:b/>
          <w:color w:val="auto"/>
          <w:sz w:val="36"/>
          <w:szCs w:val="36"/>
          <w:highlight w:val="none"/>
        </w:rPr>
        <w:t>-</w:t>
      </w:r>
      <w:r>
        <w:rPr>
          <w:rFonts w:hint="eastAsia"/>
          <w:b/>
          <w:color w:val="auto"/>
          <w:sz w:val="36"/>
          <w:szCs w:val="36"/>
          <w:highlight w:val="none"/>
          <w:lang w:val="en-US" w:eastAsia="zh-CN"/>
        </w:rPr>
        <w:t>JLJFM</w:t>
      </w:r>
      <w:r>
        <w:rPr>
          <w:rFonts w:hint="eastAsia"/>
          <w:b/>
          <w:color w:val="auto"/>
          <w:sz w:val="36"/>
          <w:szCs w:val="36"/>
          <w:highlight w:val="none"/>
        </w:rPr>
        <w:t>-202</w:t>
      </w:r>
      <w:r>
        <w:rPr>
          <w:rFonts w:hint="eastAsia"/>
          <w:b/>
          <w:color w:val="auto"/>
          <w:sz w:val="36"/>
          <w:szCs w:val="36"/>
          <w:highlight w:val="none"/>
          <w:lang w:val="en-US" w:eastAsia="zh-CN"/>
        </w:rPr>
        <w:t>6</w:t>
      </w:r>
      <w:r>
        <w:rPr>
          <w:rFonts w:hint="eastAsia"/>
          <w:b/>
          <w:color w:val="auto"/>
          <w:sz w:val="36"/>
          <w:szCs w:val="36"/>
          <w:highlight w:val="none"/>
        </w:rPr>
        <w:t>-</w:t>
      </w:r>
      <w:r>
        <w:rPr>
          <w:b/>
          <w:color w:val="auto"/>
          <w:sz w:val="36"/>
          <w:szCs w:val="36"/>
          <w:highlight w:val="none"/>
        </w:rPr>
        <w:t>00</w:t>
      </w:r>
      <w:r>
        <w:rPr>
          <w:rFonts w:hint="eastAsia"/>
          <w:b/>
          <w:color w:val="auto"/>
          <w:sz w:val="36"/>
          <w:szCs w:val="36"/>
          <w:highlight w:val="none"/>
          <w:lang w:val="en-US" w:eastAsia="zh-CN"/>
        </w:rPr>
        <w:t>1</w:t>
      </w:r>
      <w:r>
        <w:rPr>
          <w:rFonts w:hint="eastAsia"/>
          <w:b/>
          <w:color w:val="auto"/>
          <w:sz w:val="36"/>
          <w:szCs w:val="36"/>
          <w:highlight w:val="none"/>
        </w:rPr>
        <w:t>）</w:t>
      </w:r>
    </w:p>
    <w:p w14:paraId="4A148E78">
      <w:pPr>
        <w:widowControl/>
        <w:shd w:val="clear" w:color="auto" w:fill="FFFFFF"/>
        <w:snapToGrid w:val="0"/>
        <w:jc w:val="center"/>
        <w:rPr>
          <w:b/>
          <w:color w:val="auto"/>
          <w:sz w:val="28"/>
          <w:szCs w:val="28"/>
          <w:highlight w:val="none"/>
        </w:rPr>
      </w:pPr>
    </w:p>
    <w:p w14:paraId="256973BB">
      <w:pPr>
        <w:widowControl/>
        <w:shd w:val="clear" w:color="auto" w:fill="FFFFFF"/>
        <w:snapToGrid w:val="0"/>
        <w:jc w:val="center"/>
        <w:rPr>
          <w:b/>
          <w:color w:val="auto"/>
          <w:sz w:val="28"/>
          <w:szCs w:val="28"/>
          <w:highlight w:val="none"/>
        </w:rPr>
      </w:pPr>
    </w:p>
    <w:p w14:paraId="39C5B546">
      <w:pPr>
        <w:widowControl/>
        <w:shd w:val="clear" w:color="auto" w:fill="FFFFFF"/>
        <w:snapToGrid w:val="0"/>
        <w:jc w:val="center"/>
        <w:rPr>
          <w:b/>
          <w:color w:val="auto"/>
          <w:sz w:val="28"/>
          <w:szCs w:val="28"/>
          <w:highlight w:val="none"/>
        </w:rPr>
      </w:pPr>
    </w:p>
    <w:p w14:paraId="6CCDE9C0">
      <w:pPr>
        <w:widowControl/>
        <w:shd w:val="clear" w:color="auto" w:fill="FFFFFF"/>
        <w:snapToGrid w:val="0"/>
        <w:jc w:val="center"/>
        <w:rPr>
          <w:b/>
          <w:color w:val="auto"/>
          <w:sz w:val="28"/>
          <w:szCs w:val="28"/>
          <w:highlight w:val="none"/>
        </w:rPr>
      </w:pPr>
    </w:p>
    <w:p w14:paraId="7A206EE6">
      <w:pPr>
        <w:widowControl/>
        <w:shd w:val="clear" w:color="auto" w:fill="FFFFFF"/>
        <w:snapToGrid w:val="0"/>
        <w:jc w:val="center"/>
        <w:rPr>
          <w:b/>
          <w:color w:val="auto"/>
          <w:sz w:val="28"/>
          <w:szCs w:val="28"/>
          <w:highlight w:val="none"/>
        </w:rPr>
      </w:pPr>
    </w:p>
    <w:p w14:paraId="51F8D02B">
      <w:pPr>
        <w:widowControl/>
        <w:shd w:val="clear" w:color="auto" w:fill="FFFFFF"/>
        <w:snapToGrid w:val="0"/>
        <w:rPr>
          <w:b/>
          <w:color w:val="auto"/>
          <w:sz w:val="28"/>
          <w:szCs w:val="28"/>
          <w:highlight w:val="none"/>
        </w:rPr>
      </w:pPr>
    </w:p>
    <w:p w14:paraId="17223505">
      <w:pPr>
        <w:widowControl/>
        <w:shd w:val="clear" w:color="auto" w:fill="FFFFFF"/>
        <w:snapToGrid w:val="0"/>
        <w:jc w:val="center"/>
        <w:rPr>
          <w:b/>
          <w:color w:val="auto"/>
          <w:sz w:val="28"/>
          <w:szCs w:val="28"/>
          <w:highlight w:val="none"/>
        </w:rPr>
      </w:pPr>
    </w:p>
    <w:p w14:paraId="0DBAC6F2">
      <w:pPr>
        <w:widowControl/>
        <w:shd w:val="clear" w:color="auto" w:fill="FFFFFF"/>
        <w:snapToGrid w:val="0"/>
        <w:jc w:val="center"/>
        <w:rPr>
          <w:b/>
          <w:color w:val="auto"/>
          <w:sz w:val="28"/>
          <w:szCs w:val="28"/>
          <w:highlight w:val="none"/>
        </w:rPr>
      </w:pPr>
    </w:p>
    <w:p w14:paraId="5D0012B8">
      <w:pPr>
        <w:widowControl/>
        <w:shd w:val="clear" w:color="auto" w:fill="FFFFFF"/>
        <w:snapToGrid w:val="0"/>
        <w:jc w:val="both"/>
        <w:rPr>
          <w:rFonts w:hint="eastAsia"/>
          <w:b/>
          <w:color w:val="auto"/>
          <w:sz w:val="32"/>
          <w:szCs w:val="32"/>
          <w:highlight w:val="none"/>
        </w:rPr>
      </w:pPr>
    </w:p>
    <w:p w14:paraId="0E63E987">
      <w:pPr>
        <w:pStyle w:val="2"/>
        <w:rPr>
          <w:rFonts w:hint="eastAsia"/>
          <w:color w:val="auto"/>
          <w:highlight w:val="none"/>
        </w:rPr>
      </w:pPr>
    </w:p>
    <w:p w14:paraId="219BC03D">
      <w:pPr>
        <w:widowControl/>
        <w:shd w:val="clear" w:color="auto" w:fill="FFFFFF"/>
        <w:snapToGrid w:val="0"/>
        <w:jc w:val="center"/>
        <w:rPr>
          <w:rFonts w:hint="eastAsia"/>
          <w:b/>
          <w:color w:val="auto"/>
          <w:sz w:val="32"/>
          <w:szCs w:val="32"/>
          <w:highlight w:val="none"/>
        </w:rPr>
      </w:pPr>
    </w:p>
    <w:p w14:paraId="40775E56">
      <w:pPr>
        <w:widowControl/>
        <w:shd w:val="clear" w:color="auto" w:fill="FFFFFF"/>
        <w:snapToGrid w:val="0"/>
        <w:jc w:val="center"/>
        <w:rPr>
          <w:b/>
          <w:color w:val="auto"/>
          <w:sz w:val="32"/>
          <w:szCs w:val="32"/>
          <w:highlight w:val="none"/>
        </w:rPr>
      </w:pPr>
      <w:r>
        <w:rPr>
          <w:rFonts w:hint="eastAsia"/>
          <w:b/>
          <w:color w:val="auto"/>
          <w:sz w:val="32"/>
          <w:szCs w:val="32"/>
          <w:highlight w:val="none"/>
        </w:rPr>
        <w:t>招</w:t>
      </w:r>
      <w:r>
        <w:rPr>
          <w:rFonts w:hint="eastAsia"/>
          <w:b/>
          <w:color w:val="auto"/>
          <w:sz w:val="32"/>
          <w:szCs w:val="32"/>
          <w:highlight w:val="none"/>
          <w:lang w:val="en-US" w:eastAsia="zh-CN"/>
        </w:rPr>
        <w:t>选</w:t>
      </w:r>
      <w:r>
        <w:rPr>
          <w:rFonts w:hint="eastAsia"/>
          <w:b/>
          <w:color w:val="auto"/>
          <w:sz w:val="32"/>
          <w:szCs w:val="32"/>
          <w:highlight w:val="none"/>
        </w:rPr>
        <w:t>单位：</w:t>
      </w:r>
      <w:r>
        <w:rPr>
          <w:rFonts w:hint="eastAsia" w:ascii="宋体"/>
          <w:color w:val="auto"/>
          <w:sz w:val="28"/>
          <w:highlight w:val="none"/>
          <w:u w:val="single"/>
        </w:rPr>
        <w:t>福建省水利水电工程局有限公司</w:t>
      </w:r>
    </w:p>
    <w:p w14:paraId="70199F3A">
      <w:pPr>
        <w:widowControl/>
        <w:shd w:val="clear" w:color="auto" w:fill="FFFFFF"/>
        <w:snapToGrid w:val="0"/>
        <w:jc w:val="center"/>
        <w:rPr>
          <w:rFonts w:hint="eastAsia" w:asciiTheme="majorEastAsia" w:hAnsiTheme="majorEastAsia" w:eastAsiaTheme="majorEastAsia"/>
          <w:b/>
          <w:color w:val="auto"/>
          <w:sz w:val="32"/>
          <w:szCs w:val="32"/>
          <w:highlight w:val="none"/>
          <w:u w:val="single"/>
        </w:rPr>
      </w:pPr>
    </w:p>
    <w:p w14:paraId="19EA270E">
      <w:pPr>
        <w:widowControl/>
        <w:shd w:val="clear" w:color="auto" w:fill="FFFFFF"/>
        <w:snapToGrid w:val="0"/>
        <w:jc w:val="center"/>
        <w:rPr>
          <w:rFonts w:asciiTheme="majorEastAsia" w:hAnsiTheme="majorEastAsia" w:eastAsiaTheme="majorEastAsia"/>
          <w:b/>
          <w:color w:val="auto"/>
          <w:sz w:val="28"/>
          <w:szCs w:val="28"/>
          <w:highlight w:val="none"/>
        </w:rPr>
      </w:pPr>
      <w:r>
        <w:rPr>
          <w:rFonts w:hint="eastAsia" w:asciiTheme="majorEastAsia" w:hAnsiTheme="majorEastAsia" w:eastAsiaTheme="majorEastAsia"/>
          <w:b/>
          <w:color w:val="auto"/>
          <w:sz w:val="32"/>
          <w:szCs w:val="32"/>
          <w:highlight w:val="none"/>
          <w:u w:val="single"/>
        </w:rPr>
        <w:t>202</w:t>
      </w:r>
      <w:r>
        <w:rPr>
          <w:rFonts w:hint="eastAsia" w:asciiTheme="majorEastAsia" w:hAnsiTheme="majorEastAsia" w:eastAsiaTheme="majorEastAsia"/>
          <w:b/>
          <w:color w:val="auto"/>
          <w:sz w:val="32"/>
          <w:szCs w:val="32"/>
          <w:highlight w:val="none"/>
          <w:u w:val="single"/>
          <w:lang w:val="en-US" w:eastAsia="zh-CN"/>
        </w:rPr>
        <w:t>6</w:t>
      </w:r>
      <w:r>
        <w:rPr>
          <w:rFonts w:hint="eastAsia" w:asciiTheme="majorEastAsia" w:hAnsiTheme="majorEastAsia" w:eastAsiaTheme="majorEastAsia"/>
          <w:b/>
          <w:color w:val="auto"/>
          <w:sz w:val="32"/>
          <w:szCs w:val="32"/>
          <w:highlight w:val="none"/>
        </w:rPr>
        <w:t>年</w:t>
      </w:r>
      <w:r>
        <w:rPr>
          <w:rFonts w:hint="eastAsia" w:asciiTheme="majorEastAsia" w:hAnsiTheme="majorEastAsia" w:eastAsiaTheme="majorEastAsia"/>
          <w:b/>
          <w:color w:val="auto"/>
          <w:sz w:val="32"/>
          <w:szCs w:val="32"/>
          <w:highlight w:val="none"/>
          <w:u w:val="single"/>
          <w:lang w:val="en-US" w:eastAsia="zh-CN"/>
        </w:rPr>
        <w:t>7</w:t>
      </w:r>
      <w:r>
        <w:rPr>
          <w:rFonts w:hint="eastAsia" w:asciiTheme="majorEastAsia" w:hAnsiTheme="majorEastAsia" w:eastAsiaTheme="majorEastAsia"/>
          <w:b/>
          <w:color w:val="auto"/>
          <w:sz w:val="32"/>
          <w:szCs w:val="32"/>
          <w:highlight w:val="none"/>
        </w:rPr>
        <w:t>月</w:t>
      </w:r>
      <w:r>
        <w:rPr>
          <w:rFonts w:hint="eastAsia" w:asciiTheme="majorEastAsia" w:hAnsiTheme="majorEastAsia" w:eastAsiaTheme="majorEastAsia"/>
          <w:b/>
          <w:color w:val="auto"/>
          <w:sz w:val="32"/>
          <w:szCs w:val="32"/>
          <w:highlight w:val="none"/>
          <w:u w:val="single"/>
          <w:lang w:val="en-US" w:eastAsia="zh-CN"/>
        </w:rPr>
        <w:t>15</w:t>
      </w:r>
      <w:r>
        <w:rPr>
          <w:rFonts w:hint="eastAsia" w:asciiTheme="majorEastAsia" w:hAnsiTheme="majorEastAsia" w:eastAsiaTheme="majorEastAsia"/>
          <w:b/>
          <w:color w:val="auto"/>
          <w:sz w:val="32"/>
          <w:szCs w:val="32"/>
          <w:highlight w:val="none"/>
        </w:rPr>
        <w:t>日</w:t>
      </w:r>
    </w:p>
    <w:p w14:paraId="0A12529C">
      <w:pPr>
        <w:pStyle w:val="2"/>
        <w:ind w:left="0" w:leftChars="0" w:firstLine="0" w:firstLineChars="0"/>
        <w:jc w:val="center"/>
        <w:rPr>
          <w:rFonts w:hint="eastAsia"/>
          <w:b/>
          <w:bCs/>
          <w:color w:val="auto"/>
          <w:sz w:val="36"/>
          <w:szCs w:val="36"/>
          <w:highlight w:val="none"/>
          <w:lang w:val="en-US" w:eastAsia="zh-CN"/>
        </w:rPr>
        <w:sectPr>
          <w:pgSz w:w="11906" w:h="16838"/>
          <w:pgMar w:top="1440" w:right="1531" w:bottom="1440" w:left="1531" w:header="851" w:footer="992" w:gutter="0"/>
          <w:pgNumType w:start="1"/>
          <w:cols w:space="425" w:num="1"/>
          <w:docGrid w:type="lines" w:linePitch="312" w:charSpace="0"/>
        </w:sectPr>
      </w:pPr>
    </w:p>
    <w:p w14:paraId="0B908EBE">
      <w:pPr>
        <w:pStyle w:val="2"/>
        <w:ind w:left="0" w:leftChars="0" w:firstLine="0" w:firstLineChars="0"/>
        <w:jc w:val="center"/>
        <w:rPr>
          <w:rFonts w:hint="eastAsia"/>
          <w:b/>
          <w:bCs/>
          <w:color w:val="auto"/>
          <w:sz w:val="36"/>
          <w:szCs w:val="36"/>
          <w:highlight w:val="none"/>
          <w:lang w:val="en-US" w:eastAsia="zh-CN"/>
        </w:rPr>
      </w:pPr>
      <w:r>
        <w:rPr>
          <w:rFonts w:hint="eastAsia"/>
          <w:b/>
          <w:bCs/>
          <w:color w:val="auto"/>
          <w:sz w:val="36"/>
          <w:szCs w:val="36"/>
          <w:highlight w:val="none"/>
          <w:lang w:val="en-US" w:eastAsia="zh-CN"/>
        </w:rPr>
        <w:t>目录</w:t>
      </w:r>
    </w:p>
    <w:p w14:paraId="2C291964">
      <w:pPr>
        <w:pStyle w:val="2"/>
        <w:ind w:left="0" w:leftChars="0" w:firstLine="0" w:firstLineChars="0"/>
        <w:jc w:val="center"/>
        <w:rPr>
          <w:rFonts w:hint="eastAsia"/>
          <w:b/>
          <w:bCs/>
          <w:color w:val="auto"/>
          <w:sz w:val="36"/>
          <w:szCs w:val="36"/>
          <w:highlight w:val="none"/>
          <w:lang w:val="en-US" w:eastAsia="zh-CN"/>
        </w:rPr>
      </w:pPr>
    </w:p>
    <w:p w14:paraId="271E3C90">
      <w:pPr>
        <w:pStyle w:val="22"/>
        <w:tabs>
          <w:tab w:val="right" w:leader="dot" w:pos="8901"/>
        </w:tabs>
        <w:rPr>
          <w:color w:val="auto"/>
          <w:highlight w:val="none"/>
        </w:rPr>
      </w:pPr>
      <w:r>
        <w:rPr>
          <w:rFonts w:hint="eastAsia"/>
          <w:b/>
          <w:bCs/>
          <w:color w:val="auto"/>
          <w:sz w:val="36"/>
          <w:szCs w:val="36"/>
          <w:highlight w:val="none"/>
          <w:lang w:val="en-US" w:eastAsia="zh-CN"/>
        </w:rPr>
        <w:fldChar w:fldCharType="begin"/>
      </w:r>
      <w:r>
        <w:rPr>
          <w:rFonts w:hint="eastAsia"/>
          <w:b/>
          <w:bCs/>
          <w:color w:val="auto"/>
          <w:sz w:val="36"/>
          <w:szCs w:val="36"/>
          <w:highlight w:val="none"/>
          <w:lang w:val="en-US" w:eastAsia="zh-CN"/>
        </w:rPr>
        <w:instrText xml:space="preserve">TOC \t "样式1,1" \h</w:instrText>
      </w:r>
      <w:r>
        <w:rPr>
          <w:rFonts w:hint="eastAsia"/>
          <w:b/>
          <w:bCs/>
          <w:color w:val="auto"/>
          <w:sz w:val="36"/>
          <w:szCs w:val="36"/>
          <w:highlight w:val="none"/>
          <w:lang w:val="en-US" w:eastAsia="zh-CN"/>
        </w:rPr>
        <w:fldChar w:fldCharType="separate"/>
      </w: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_Toc3818 </w:instrText>
      </w:r>
      <w:r>
        <w:rPr>
          <w:rFonts w:hint="eastAsia"/>
          <w:bCs/>
          <w:color w:val="auto"/>
          <w:szCs w:val="36"/>
          <w:highlight w:val="none"/>
          <w:lang w:val="en-US" w:eastAsia="zh-CN"/>
        </w:rPr>
        <w:fldChar w:fldCharType="separate"/>
      </w:r>
      <w:r>
        <w:rPr>
          <w:rFonts w:hint="eastAsia"/>
          <w:color w:val="auto"/>
          <w:highlight w:val="none"/>
        </w:rPr>
        <w:t>第一章 招</w:t>
      </w:r>
      <w:r>
        <w:rPr>
          <w:rFonts w:hint="eastAsia"/>
          <w:color w:val="auto"/>
          <w:highlight w:val="none"/>
          <w:lang w:val="en-US" w:eastAsia="zh-CN"/>
        </w:rPr>
        <w:t>选</w:t>
      </w:r>
      <w:r>
        <w:rPr>
          <w:rFonts w:hint="eastAsia"/>
          <w:color w:val="auto"/>
          <w:highlight w:val="none"/>
        </w:rPr>
        <w:t>公告</w:t>
      </w:r>
      <w:r>
        <w:rPr>
          <w:color w:val="auto"/>
          <w:highlight w:val="none"/>
        </w:rPr>
        <w:tab/>
      </w:r>
      <w:r>
        <w:rPr>
          <w:color w:val="auto"/>
          <w:highlight w:val="none"/>
        </w:rPr>
        <w:fldChar w:fldCharType="begin"/>
      </w:r>
      <w:r>
        <w:rPr>
          <w:color w:val="auto"/>
          <w:highlight w:val="none"/>
        </w:rPr>
        <w:instrText xml:space="preserve"> PAGEREF _Toc3818 \h </w:instrText>
      </w:r>
      <w:r>
        <w:rPr>
          <w:color w:val="auto"/>
          <w:highlight w:val="none"/>
        </w:rPr>
        <w:fldChar w:fldCharType="separate"/>
      </w:r>
      <w:r>
        <w:rPr>
          <w:color w:val="auto"/>
          <w:highlight w:val="none"/>
        </w:rPr>
        <w:t>3</w:t>
      </w:r>
      <w:r>
        <w:rPr>
          <w:color w:val="auto"/>
          <w:highlight w:val="none"/>
        </w:rPr>
        <w:fldChar w:fldCharType="end"/>
      </w:r>
      <w:r>
        <w:rPr>
          <w:rFonts w:hint="eastAsia"/>
          <w:bCs/>
          <w:color w:val="auto"/>
          <w:szCs w:val="36"/>
          <w:highlight w:val="none"/>
          <w:lang w:val="en-US" w:eastAsia="zh-CN"/>
        </w:rPr>
        <w:fldChar w:fldCharType="end"/>
      </w:r>
    </w:p>
    <w:p w14:paraId="166C2637">
      <w:pPr>
        <w:pStyle w:val="22"/>
        <w:tabs>
          <w:tab w:val="right" w:leader="dot" w:pos="8901"/>
        </w:tabs>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_Toc22918 </w:instrText>
      </w:r>
      <w:r>
        <w:rPr>
          <w:rFonts w:hint="eastAsia"/>
          <w:bCs/>
          <w:color w:val="auto"/>
          <w:szCs w:val="36"/>
          <w:highlight w:val="none"/>
          <w:lang w:val="en-US" w:eastAsia="zh-CN"/>
        </w:rPr>
        <w:fldChar w:fldCharType="separate"/>
      </w:r>
      <w:r>
        <w:rPr>
          <w:rFonts w:hint="eastAsia"/>
          <w:color w:val="auto"/>
          <w:highlight w:val="none"/>
        </w:rPr>
        <w:t>第二章</w:t>
      </w:r>
      <w:r>
        <w:rPr>
          <w:rFonts w:hint="eastAsia"/>
          <w:color w:val="auto"/>
          <w:highlight w:val="none"/>
          <w:lang w:val="en-US" w:eastAsia="zh-CN"/>
        </w:rPr>
        <w:t xml:space="preserve"> 参选</w:t>
      </w:r>
      <w:r>
        <w:rPr>
          <w:rFonts w:hint="eastAsia"/>
          <w:color w:val="auto"/>
          <w:highlight w:val="none"/>
        </w:rPr>
        <w:t>人须知</w:t>
      </w:r>
      <w:r>
        <w:rPr>
          <w:color w:val="auto"/>
          <w:highlight w:val="none"/>
        </w:rPr>
        <w:tab/>
      </w:r>
      <w:r>
        <w:rPr>
          <w:color w:val="auto"/>
          <w:highlight w:val="none"/>
        </w:rPr>
        <w:fldChar w:fldCharType="begin"/>
      </w:r>
      <w:r>
        <w:rPr>
          <w:color w:val="auto"/>
          <w:highlight w:val="none"/>
        </w:rPr>
        <w:instrText xml:space="preserve"> PAGEREF _Toc22918 \h </w:instrText>
      </w:r>
      <w:r>
        <w:rPr>
          <w:color w:val="auto"/>
          <w:highlight w:val="none"/>
        </w:rPr>
        <w:fldChar w:fldCharType="separate"/>
      </w:r>
      <w:r>
        <w:rPr>
          <w:color w:val="auto"/>
          <w:highlight w:val="none"/>
        </w:rPr>
        <w:t>3</w:t>
      </w:r>
      <w:r>
        <w:rPr>
          <w:color w:val="auto"/>
          <w:highlight w:val="none"/>
        </w:rPr>
        <w:fldChar w:fldCharType="end"/>
      </w:r>
      <w:r>
        <w:rPr>
          <w:rFonts w:hint="eastAsia"/>
          <w:bCs/>
          <w:color w:val="auto"/>
          <w:szCs w:val="36"/>
          <w:highlight w:val="none"/>
          <w:lang w:val="en-US" w:eastAsia="zh-CN"/>
        </w:rPr>
        <w:fldChar w:fldCharType="end"/>
      </w:r>
    </w:p>
    <w:p w14:paraId="54A3C905">
      <w:pPr>
        <w:pStyle w:val="22"/>
        <w:tabs>
          <w:tab w:val="right" w:leader="dot" w:pos="8901"/>
        </w:tabs>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_Toc22661 </w:instrText>
      </w:r>
      <w:r>
        <w:rPr>
          <w:rFonts w:hint="eastAsia"/>
          <w:bCs/>
          <w:color w:val="auto"/>
          <w:szCs w:val="36"/>
          <w:highlight w:val="none"/>
          <w:lang w:val="en-US" w:eastAsia="zh-CN"/>
        </w:rPr>
        <w:fldChar w:fldCharType="separate"/>
      </w:r>
      <w:r>
        <w:rPr>
          <w:rFonts w:hint="eastAsia"/>
          <w:color w:val="auto"/>
          <w:highlight w:val="none"/>
        </w:rPr>
        <w:t>第三章 评</w:t>
      </w:r>
      <w:r>
        <w:rPr>
          <w:rFonts w:hint="eastAsia"/>
          <w:color w:val="auto"/>
          <w:highlight w:val="none"/>
          <w:lang w:val="en-US" w:eastAsia="zh-CN"/>
        </w:rPr>
        <w:t>选</w:t>
      </w:r>
      <w:r>
        <w:rPr>
          <w:rFonts w:hint="eastAsia"/>
          <w:color w:val="auto"/>
          <w:highlight w:val="none"/>
        </w:rPr>
        <w:t>办法（最低价中</w:t>
      </w:r>
      <w:r>
        <w:rPr>
          <w:rFonts w:hint="eastAsia"/>
          <w:color w:val="auto"/>
          <w:highlight w:val="none"/>
          <w:lang w:val="en-US" w:eastAsia="zh-CN"/>
        </w:rPr>
        <w:t>选</w:t>
      </w:r>
      <w:r>
        <w:rPr>
          <w:rFonts w:hint="eastAsia"/>
          <w:color w:val="auto"/>
          <w:highlight w:val="none"/>
        </w:rPr>
        <w:t>法）</w:t>
      </w:r>
      <w:r>
        <w:rPr>
          <w:color w:val="auto"/>
          <w:highlight w:val="none"/>
        </w:rPr>
        <w:tab/>
      </w:r>
      <w:r>
        <w:rPr>
          <w:color w:val="auto"/>
          <w:highlight w:val="none"/>
        </w:rPr>
        <w:fldChar w:fldCharType="begin"/>
      </w:r>
      <w:r>
        <w:rPr>
          <w:color w:val="auto"/>
          <w:highlight w:val="none"/>
        </w:rPr>
        <w:instrText xml:space="preserve"> PAGEREF _Toc22661 \h </w:instrText>
      </w:r>
      <w:r>
        <w:rPr>
          <w:color w:val="auto"/>
          <w:highlight w:val="none"/>
        </w:rPr>
        <w:fldChar w:fldCharType="separate"/>
      </w:r>
      <w:r>
        <w:rPr>
          <w:color w:val="auto"/>
          <w:highlight w:val="none"/>
        </w:rPr>
        <w:t>19</w:t>
      </w:r>
      <w:r>
        <w:rPr>
          <w:color w:val="auto"/>
          <w:highlight w:val="none"/>
        </w:rPr>
        <w:fldChar w:fldCharType="end"/>
      </w:r>
      <w:r>
        <w:rPr>
          <w:rFonts w:hint="eastAsia"/>
          <w:bCs/>
          <w:color w:val="auto"/>
          <w:szCs w:val="36"/>
          <w:highlight w:val="none"/>
          <w:lang w:val="en-US" w:eastAsia="zh-CN"/>
        </w:rPr>
        <w:fldChar w:fldCharType="end"/>
      </w:r>
    </w:p>
    <w:p w14:paraId="5A05A619">
      <w:pPr>
        <w:pStyle w:val="22"/>
        <w:tabs>
          <w:tab w:val="right" w:leader="dot" w:pos="8901"/>
        </w:tabs>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_Toc17860 </w:instrText>
      </w:r>
      <w:r>
        <w:rPr>
          <w:rFonts w:hint="eastAsia"/>
          <w:bCs/>
          <w:color w:val="auto"/>
          <w:szCs w:val="36"/>
          <w:highlight w:val="none"/>
          <w:lang w:val="en-US" w:eastAsia="zh-CN"/>
        </w:rPr>
        <w:fldChar w:fldCharType="separate"/>
      </w:r>
      <w:r>
        <w:rPr>
          <w:rFonts w:hint="eastAsia"/>
          <w:color w:val="auto"/>
          <w:highlight w:val="none"/>
        </w:rPr>
        <w:t>第四章 合同</w:t>
      </w:r>
      <w:r>
        <w:rPr>
          <w:rFonts w:hint="eastAsia"/>
          <w:color w:val="auto"/>
          <w:highlight w:val="none"/>
          <w:lang w:val="en-US" w:eastAsia="zh-CN"/>
        </w:rPr>
        <w:t>技术标准和要求</w:t>
      </w:r>
      <w:r>
        <w:rPr>
          <w:color w:val="auto"/>
          <w:highlight w:val="none"/>
        </w:rPr>
        <w:tab/>
      </w:r>
      <w:r>
        <w:rPr>
          <w:color w:val="auto"/>
          <w:highlight w:val="none"/>
        </w:rPr>
        <w:fldChar w:fldCharType="begin"/>
      </w:r>
      <w:r>
        <w:rPr>
          <w:color w:val="auto"/>
          <w:highlight w:val="none"/>
        </w:rPr>
        <w:instrText xml:space="preserve"> PAGEREF _Toc17860 \h </w:instrText>
      </w:r>
      <w:r>
        <w:rPr>
          <w:color w:val="auto"/>
          <w:highlight w:val="none"/>
        </w:rPr>
        <w:fldChar w:fldCharType="separate"/>
      </w:r>
      <w:r>
        <w:rPr>
          <w:color w:val="auto"/>
          <w:highlight w:val="none"/>
        </w:rPr>
        <w:t>23</w:t>
      </w:r>
      <w:r>
        <w:rPr>
          <w:color w:val="auto"/>
          <w:highlight w:val="none"/>
        </w:rPr>
        <w:fldChar w:fldCharType="end"/>
      </w:r>
      <w:r>
        <w:rPr>
          <w:rFonts w:hint="eastAsia"/>
          <w:bCs/>
          <w:color w:val="auto"/>
          <w:szCs w:val="36"/>
          <w:highlight w:val="none"/>
          <w:lang w:val="en-US" w:eastAsia="zh-CN"/>
        </w:rPr>
        <w:fldChar w:fldCharType="end"/>
      </w:r>
    </w:p>
    <w:p w14:paraId="6CE0CAEB">
      <w:pPr>
        <w:pStyle w:val="22"/>
        <w:tabs>
          <w:tab w:val="right" w:leader="dot" w:pos="8901"/>
        </w:tabs>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_Toc27464 </w:instrText>
      </w:r>
      <w:r>
        <w:rPr>
          <w:rFonts w:hint="eastAsia"/>
          <w:bCs/>
          <w:color w:val="auto"/>
          <w:szCs w:val="36"/>
          <w:highlight w:val="none"/>
          <w:lang w:val="en-US" w:eastAsia="zh-CN"/>
        </w:rPr>
        <w:fldChar w:fldCharType="separate"/>
      </w:r>
      <w:r>
        <w:rPr>
          <w:rFonts w:hint="eastAsia"/>
          <w:color w:val="auto"/>
          <w:highlight w:val="none"/>
          <w:lang w:val="en-US" w:eastAsia="zh-CN"/>
        </w:rPr>
        <w:t>第五章 合同条款及格式</w:t>
      </w:r>
      <w:r>
        <w:rPr>
          <w:color w:val="auto"/>
          <w:highlight w:val="none"/>
        </w:rPr>
        <w:tab/>
      </w:r>
      <w:r>
        <w:rPr>
          <w:color w:val="auto"/>
          <w:highlight w:val="none"/>
        </w:rPr>
        <w:fldChar w:fldCharType="begin"/>
      </w:r>
      <w:r>
        <w:rPr>
          <w:color w:val="auto"/>
          <w:highlight w:val="none"/>
        </w:rPr>
        <w:instrText xml:space="preserve"> PAGEREF _Toc27464 \h </w:instrText>
      </w:r>
      <w:r>
        <w:rPr>
          <w:color w:val="auto"/>
          <w:highlight w:val="none"/>
        </w:rPr>
        <w:fldChar w:fldCharType="separate"/>
      </w:r>
      <w:r>
        <w:rPr>
          <w:color w:val="auto"/>
          <w:highlight w:val="none"/>
        </w:rPr>
        <w:t>48</w:t>
      </w:r>
      <w:r>
        <w:rPr>
          <w:color w:val="auto"/>
          <w:highlight w:val="none"/>
        </w:rPr>
        <w:fldChar w:fldCharType="end"/>
      </w:r>
      <w:r>
        <w:rPr>
          <w:rFonts w:hint="eastAsia"/>
          <w:bCs/>
          <w:color w:val="auto"/>
          <w:szCs w:val="36"/>
          <w:highlight w:val="none"/>
          <w:lang w:val="en-US" w:eastAsia="zh-CN"/>
        </w:rPr>
        <w:fldChar w:fldCharType="end"/>
      </w:r>
    </w:p>
    <w:p w14:paraId="24888E21">
      <w:pPr>
        <w:pStyle w:val="22"/>
        <w:tabs>
          <w:tab w:val="right" w:leader="dot" w:pos="8901"/>
        </w:tabs>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_Toc28455 </w:instrText>
      </w:r>
      <w:r>
        <w:rPr>
          <w:rFonts w:hint="eastAsia"/>
          <w:bCs/>
          <w:color w:val="auto"/>
          <w:szCs w:val="36"/>
          <w:highlight w:val="none"/>
          <w:lang w:val="en-US" w:eastAsia="zh-CN"/>
        </w:rPr>
        <w:fldChar w:fldCharType="separate"/>
      </w:r>
      <w:r>
        <w:rPr>
          <w:rFonts w:hint="eastAsia"/>
          <w:color w:val="auto"/>
          <w:highlight w:val="none"/>
          <w:lang w:val="en-US" w:eastAsia="zh-CN"/>
        </w:rPr>
        <w:t>第六章 参选</w:t>
      </w:r>
      <w:r>
        <w:rPr>
          <w:rFonts w:hint="eastAsia"/>
          <w:color w:val="auto"/>
          <w:highlight w:val="none"/>
        </w:rPr>
        <w:t>文件格式</w:t>
      </w:r>
      <w:r>
        <w:rPr>
          <w:color w:val="auto"/>
          <w:highlight w:val="none"/>
        </w:rPr>
        <w:tab/>
      </w:r>
      <w:r>
        <w:rPr>
          <w:color w:val="auto"/>
          <w:highlight w:val="none"/>
        </w:rPr>
        <w:fldChar w:fldCharType="begin"/>
      </w:r>
      <w:r>
        <w:rPr>
          <w:color w:val="auto"/>
          <w:highlight w:val="none"/>
        </w:rPr>
        <w:instrText xml:space="preserve"> PAGEREF _Toc28455 \h </w:instrText>
      </w:r>
      <w:r>
        <w:rPr>
          <w:color w:val="auto"/>
          <w:highlight w:val="none"/>
        </w:rPr>
        <w:fldChar w:fldCharType="separate"/>
      </w:r>
      <w:r>
        <w:rPr>
          <w:color w:val="auto"/>
          <w:highlight w:val="none"/>
        </w:rPr>
        <w:t>56</w:t>
      </w:r>
      <w:r>
        <w:rPr>
          <w:color w:val="auto"/>
          <w:highlight w:val="none"/>
        </w:rPr>
        <w:fldChar w:fldCharType="end"/>
      </w:r>
      <w:r>
        <w:rPr>
          <w:rFonts w:hint="eastAsia"/>
          <w:bCs/>
          <w:color w:val="auto"/>
          <w:szCs w:val="36"/>
          <w:highlight w:val="none"/>
          <w:lang w:val="en-US" w:eastAsia="zh-CN"/>
        </w:rPr>
        <w:fldChar w:fldCharType="end"/>
      </w:r>
    </w:p>
    <w:p w14:paraId="0322C776">
      <w:pPr>
        <w:pStyle w:val="2"/>
        <w:ind w:left="0" w:leftChars="0" w:firstLine="0" w:firstLineChars="0"/>
        <w:jc w:val="center"/>
        <w:rPr>
          <w:rFonts w:hint="eastAsia"/>
          <w:b/>
          <w:bCs/>
          <w:color w:val="auto"/>
          <w:sz w:val="36"/>
          <w:szCs w:val="36"/>
          <w:highlight w:val="none"/>
          <w:lang w:val="en-US" w:eastAsia="zh-CN"/>
        </w:rPr>
      </w:pPr>
      <w:r>
        <w:rPr>
          <w:rFonts w:hint="eastAsia"/>
          <w:bCs/>
          <w:color w:val="auto"/>
          <w:szCs w:val="36"/>
          <w:highlight w:val="none"/>
          <w:lang w:val="en-US" w:eastAsia="zh-CN"/>
        </w:rPr>
        <w:fldChar w:fldCharType="end"/>
      </w:r>
    </w:p>
    <w:p w14:paraId="4C6641C5">
      <w:pPr>
        <w:pStyle w:val="2"/>
        <w:ind w:left="0" w:leftChars="0" w:firstLine="0" w:firstLineChars="0"/>
        <w:rPr>
          <w:b/>
          <w:color w:val="auto"/>
          <w:sz w:val="24"/>
          <w:szCs w:val="24"/>
          <w:highlight w:val="none"/>
        </w:rPr>
      </w:pPr>
    </w:p>
    <w:p w14:paraId="6B7F292D">
      <w:pPr>
        <w:pStyle w:val="62"/>
        <w:bidi w:val="0"/>
        <w:jc w:val="center"/>
        <w:rPr>
          <w:rFonts w:hint="eastAsia"/>
          <w:color w:val="auto"/>
          <w:highlight w:val="none"/>
        </w:rPr>
      </w:pPr>
      <w:bookmarkStart w:id="1" w:name="_Toc511644443"/>
      <w:bookmarkStart w:id="2" w:name="_Toc511645056"/>
      <w:bookmarkStart w:id="3" w:name="_Toc515441258"/>
      <w:bookmarkStart w:id="4" w:name="_Toc3337"/>
      <w:bookmarkStart w:id="5" w:name="_Toc11240"/>
      <w:bookmarkStart w:id="6" w:name="_Toc21502"/>
      <w:bookmarkStart w:id="7" w:name="_Toc120110780"/>
    </w:p>
    <w:p w14:paraId="226E61B3">
      <w:pPr>
        <w:rPr>
          <w:rFonts w:hint="eastAsia"/>
          <w:color w:val="auto"/>
          <w:highlight w:val="none"/>
        </w:rPr>
      </w:pPr>
    </w:p>
    <w:p w14:paraId="78E1300B">
      <w:pPr>
        <w:pStyle w:val="2"/>
        <w:rPr>
          <w:rFonts w:hint="eastAsia"/>
          <w:color w:val="auto"/>
          <w:highlight w:val="none"/>
        </w:rPr>
      </w:pPr>
    </w:p>
    <w:p w14:paraId="2E1E8A2E">
      <w:pPr>
        <w:pStyle w:val="2"/>
        <w:rPr>
          <w:rFonts w:hint="eastAsia"/>
          <w:color w:val="auto"/>
          <w:highlight w:val="none"/>
        </w:rPr>
      </w:pPr>
    </w:p>
    <w:p w14:paraId="59F07F5F">
      <w:pPr>
        <w:pStyle w:val="2"/>
        <w:rPr>
          <w:rFonts w:hint="eastAsia"/>
          <w:color w:val="auto"/>
          <w:highlight w:val="none"/>
        </w:rPr>
      </w:pPr>
    </w:p>
    <w:p w14:paraId="18FCAC99">
      <w:pPr>
        <w:pStyle w:val="2"/>
        <w:rPr>
          <w:rFonts w:hint="eastAsia"/>
          <w:color w:val="auto"/>
          <w:highlight w:val="none"/>
        </w:rPr>
      </w:pPr>
    </w:p>
    <w:p w14:paraId="2FA9DA2A">
      <w:pPr>
        <w:pStyle w:val="2"/>
        <w:rPr>
          <w:rFonts w:hint="eastAsia"/>
          <w:color w:val="auto"/>
          <w:highlight w:val="none"/>
        </w:rPr>
      </w:pPr>
    </w:p>
    <w:p w14:paraId="6A3033F8">
      <w:pPr>
        <w:pStyle w:val="2"/>
        <w:rPr>
          <w:rFonts w:hint="eastAsia"/>
          <w:color w:val="auto"/>
          <w:highlight w:val="none"/>
        </w:rPr>
      </w:pPr>
    </w:p>
    <w:p w14:paraId="6B81BF13">
      <w:pPr>
        <w:pStyle w:val="62"/>
        <w:bidi w:val="0"/>
        <w:jc w:val="both"/>
        <w:rPr>
          <w:rFonts w:hint="eastAsia"/>
          <w:color w:val="auto"/>
          <w:highlight w:val="none"/>
        </w:rPr>
      </w:pPr>
    </w:p>
    <w:p w14:paraId="7FF45B0C">
      <w:pPr>
        <w:rPr>
          <w:rFonts w:hint="eastAsia"/>
          <w:color w:val="auto"/>
          <w:highlight w:val="none"/>
        </w:rPr>
      </w:pPr>
    </w:p>
    <w:p w14:paraId="2B4349C0">
      <w:pPr>
        <w:pStyle w:val="62"/>
        <w:bidi w:val="0"/>
        <w:jc w:val="center"/>
        <w:rPr>
          <w:color w:val="auto"/>
          <w:highlight w:val="none"/>
        </w:rPr>
      </w:pPr>
      <w:bookmarkStart w:id="8" w:name="_Toc3818"/>
      <w:r>
        <w:rPr>
          <w:rFonts w:hint="eastAsia"/>
          <w:color w:val="auto"/>
          <w:highlight w:val="none"/>
        </w:rPr>
        <w:t>第一章</w:t>
      </w:r>
      <w:bookmarkEnd w:id="1"/>
      <w:bookmarkEnd w:id="2"/>
      <w:bookmarkEnd w:id="3"/>
      <w:bookmarkStart w:id="9" w:name="_Hlk48204883"/>
      <w:bookmarkEnd w:id="9"/>
      <w:r>
        <w:rPr>
          <w:rFonts w:hint="eastAsia"/>
          <w:color w:val="auto"/>
          <w:highlight w:val="none"/>
        </w:rPr>
        <w:t xml:space="preserve"> 招</w:t>
      </w:r>
      <w:r>
        <w:rPr>
          <w:rFonts w:hint="eastAsia"/>
          <w:color w:val="auto"/>
          <w:highlight w:val="none"/>
          <w:lang w:val="en-US" w:eastAsia="zh-CN"/>
        </w:rPr>
        <w:t>选</w:t>
      </w:r>
      <w:r>
        <w:rPr>
          <w:rFonts w:hint="eastAsia"/>
          <w:color w:val="auto"/>
          <w:highlight w:val="none"/>
        </w:rPr>
        <w:t>公告</w:t>
      </w:r>
      <w:bookmarkEnd w:id="4"/>
      <w:bookmarkEnd w:id="5"/>
      <w:bookmarkEnd w:id="6"/>
      <w:bookmarkEnd w:id="7"/>
      <w:bookmarkEnd w:id="8"/>
    </w:p>
    <w:p w14:paraId="5E80B27C">
      <w:pPr>
        <w:widowControl/>
        <w:shd w:val="clear" w:color="auto" w:fill="FFFFFF"/>
        <w:adjustRightInd w:val="0"/>
        <w:snapToGrid w:val="0"/>
        <w:ind w:left="850" w:leftChars="405" w:right="762" w:rightChars="363"/>
        <w:jc w:val="center"/>
        <w:rPr>
          <w:b/>
          <w:color w:val="auto"/>
          <w:sz w:val="30"/>
          <w:szCs w:val="30"/>
          <w:highlight w:val="none"/>
        </w:rPr>
      </w:pPr>
      <w:r>
        <w:rPr>
          <w:rFonts w:hint="eastAsia"/>
          <w:b/>
          <w:color w:val="auto"/>
          <w:sz w:val="30"/>
          <w:szCs w:val="30"/>
          <w:highlight w:val="none"/>
        </w:rPr>
        <w:t>阀门采购招</w:t>
      </w:r>
      <w:r>
        <w:rPr>
          <w:rFonts w:hint="eastAsia"/>
          <w:b/>
          <w:color w:val="auto"/>
          <w:sz w:val="30"/>
          <w:szCs w:val="30"/>
          <w:highlight w:val="none"/>
          <w:lang w:val="en-US" w:eastAsia="zh-CN"/>
        </w:rPr>
        <w:t>选</w:t>
      </w:r>
      <w:r>
        <w:rPr>
          <w:rFonts w:hint="eastAsia"/>
          <w:b/>
          <w:color w:val="auto"/>
          <w:sz w:val="30"/>
          <w:szCs w:val="30"/>
          <w:highlight w:val="none"/>
        </w:rPr>
        <w:t>公告</w:t>
      </w:r>
    </w:p>
    <w:p w14:paraId="0CF23A6B">
      <w:pPr>
        <w:widowControl/>
        <w:shd w:val="clear" w:color="auto" w:fill="FFFFFF"/>
        <w:snapToGrid w:val="0"/>
        <w:ind w:firstLine="420" w:firstLineChars="200"/>
        <w:jc w:val="right"/>
        <w:rPr>
          <w:rFonts w:hint="eastAsia" w:eastAsiaTheme="minorEastAsia"/>
          <w:color w:val="auto"/>
          <w:szCs w:val="21"/>
          <w:highlight w:val="none"/>
          <w:lang w:val="en-US" w:eastAsia="zh-CN"/>
        </w:rPr>
      </w:pPr>
      <w:r>
        <w:rPr>
          <w:rFonts w:hint="eastAsia"/>
          <w:color w:val="auto"/>
          <w:szCs w:val="21"/>
          <w:highlight w:val="none"/>
        </w:rPr>
        <w:t>招</w:t>
      </w:r>
      <w:r>
        <w:rPr>
          <w:rFonts w:hint="eastAsia"/>
          <w:color w:val="auto"/>
          <w:szCs w:val="21"/>
          <w:highlight w:val="none"/>
          <w:lang w:val="en-US" w:eastAsia="zh-CN"/>
        </w:rPr>
        <w:t>选</w:t>
      </w:r>
      <w:r>
        <w:rPr>
          <w:rFonts w:hint="eastAsia"/>
          <w:color w:val="auto"/>
          <w:szCs w:val="21"/>
          <w:highlight w:val="none"/>
        </w:rPr>
        <w:t>编号</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SLSD</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JLJFM</w:t>
      </w:r>
      <w:r>
        <w:rPr>
          <w:rFonts w:hint="eastAsia" w:ascii="宋体" w:hAnsi="宋体" w:eastAsia="宋体" w:cs="宋体"/>
          <w:b w:val="0"/>
          <w:bCs w:val="0"/>
          <w:color w:val="auto"/>
          <w:sz w:val="21"/>
          <w:szCs w:val="21"/>
          <w:highlight w:val="none"/>
        </w:rPr>
        <w:t>-202</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-00</w:t>
      </w:r>
      <w:r>
        <w:rPr>
          <w:rFonts w:hint="eastAsia" w:ascii="宋体" w:hAnsi="宋体" w:eastAsia="宋体" w:cs="宋体"/>
          <w:b w:val="0"/>
          <w:bCs w:val="0"/>
          <w:color w:val="auto"/>
          <w:sz w:val="21"/>
          <w:szCs w:val="21"/>
          <w:highlight w:val="none"/>
          <w:lang w:val="en-US" w:eastAsia="zh-CN"/>
        </w:rPr>
        <w:t>1</w:t>
      </w:r>
    </w:p>
    <w:p w14:paraId="614A547B">
      <w:pPr>
        <w:widowControl/>
        <w:shd w:val="clear" w:color="auto" w:fill="FFFFFF"/>
        <w:snapToGrid w:val="0"/>
        <w:ind w:firstLine="420" w:firstLineChars="200"/>
        <w:jc w:val="right"/>
        <w:rPr>
          <w:color w:val="auto"/>
          <w:szCs w:val="21"/>
          <w:highlight w:val="none"/>
        </w:rPr>
      </w:pPr>
    </w:p>
    <w:p w14:paraId="0F63CE29">
      <w:pPr>
        <w:pStyle w:val="5"/>
        <w:pageBreakBefore w:val="0"/>
        <w:kinsoku/>
        <w:wordWrap/>
        <w:overflowPunct/>
        <w:topLinePunct w:val="0"/>
        <w:autoSpaceDE/>
        <w:autoSpaceDN/>
        <w:bidi w:val="0"/>
        <w:adjustRightInd w:val="0"/>
        <w:snapToGrid w:val="0"/>
        <w:spacing w:before="0" w:after="95" w:afterLines="30" w:line="360" w:lineRule="auto"/>
        <w:ind w:firstLine="562" w:firstLineChars="200"/>
        <w:textAlignment w:val="auto"/>
        <w:rPr>
          <w:rFonts w:hint="eastAsia" w:ascii="宋体" w:hAnsi="宋体" w:eastAsia="宋体" w:cs="宋体"/>
          <w:color w:val="auto"/>
          <w:sz w:val="28"/>
          <w:szCs w:val="28"/>
          <w:highlight w:val="none"/>
        </w:rPr>
      </w:pPr>
      <w:bookmarkStart w:id="10" w:name="_Toc7186362"/>
      <w:bookmarkStart w:id="11" w:name="_Toc120110781"/>
      <w:bookmarkStart w:id="12" w:name="_Toc46475107"/>
      <w:bookmarkStart w:id="13" w:name="_Toc511644444"/>
      <w:bookmarkStart w:id="14" w:name="_Toc50734438"/>
      <w:bookmarkStart w:id="15" w:name="_Toc51340205"/>
      <w:bookmarkStart w:id="16" w:name="_Toc515441259"/>
      <w:bookmarkStart w:id="17" w:name="_Toc511645057"/>
      <w:bookmarkStart w:id="18" w:name="_Toc8310"/>
      <w:bookmarkStart w:id="19" w:name="_Toc22918"/>
      <w:bookmarkStart w:id="20" w:name="_Toc28042"/>
      <w:bookmarkStart w:id="21" w:name="_Toc511644452"/>
      <w:bookmarkStart w:id="22" w:name="_Toc515441267"/>
      <w:bookmarkStart w:id="23" w:name="_Toc120110791"/>
      <w:bookmarkStart w:id="24" w:name="_Toc511645065"/>
      <w:bookmarkStart w:id="25" w:name="_Toc12864"/>
      <w:r>
        <w:rPr>
          <w:rFonts w:hint="eastAsia" w:ascii="宋体" w:hAnsi="宋体" w:eastAsia="宋体" w:cs="宋体"/>
          <w:color w:val="auto"/>
          <w:sz w:val="28"/>
          <w:szCs w:val="28"/>
          <w:highlight w:val="none"/>
          <w:lang w:eastAsia="zh-CN"/>
        </w:rPr>
        <w:t>一、</w:t>
      </w:r>
      <w:r>
        <w:rPr>
          <w:rFonts w:hint="eastAsia" w:ascii="宋体" w:hAnsi="宋体" w:eastAsia="宋体" w:cs="宋体"/>
          <w:color w:val="auto"/>
          <w:sz w:val="28"/>
          <w:szCs w:val="28"/>
          <w:highlight w:val="none"/>
        </w:rPr>
        <w:t xml:space="preserve"> 招</w:t>
      </w:r>
      <w:r>
        <w:rPr>
          <w:rFonts w:hint="eastAsia" w:ascii="宋体" w:hAnsi="宋体" w:eastAsia="宋体" w:cs="宋体"/>
          <w:color w:val="auto"/>
          <w:sz w:val="28"/>
          <w:szCs w:val="28"/>
          <w:highlight w:val="none"/>
          <w:lang w:val="en-US" w:eastAsia="zh-CN"/>
        </w:rPr>
        <w:t>选</w:t>
      </w:r>
      <w:r>
        <w:rPr>
          <w:rFonts w:hint="eastAsia" w:ascii="宋体" w:hAnsi="宋体" w:eastAsia="宋体" w:cs="宋体"/>
          <w:color w:val="auto"/>
          <w:sz w:val="28"/>
          <w:szCs w:val="28"/>
          <w:highlight w:val="none"/>
        </w:rPr>
        <w:t>条件</w:t>
      </w:r>
      <w:bookmarkEnd w:id="10"/>
      <w:bookmarkEnd w:id="11"/>
      <w:bookmarkEnd w:id="12"/>
      <w:bookmarkEnd w:id="13"/>
      <w:bookmarkEnd w:id="14"/>
      <w:bookmarkEnd w:id="15"/>
      <w:bookmarkEnd w:id="16"/>
      <w:bookmarkEnd w:id="17"/>
    </w:p>
    <w:p w14:paraId="07B22F99">
      <w:pPr>
        <w:pageBreakBefore w:val="0"/>
        <w:widowControl/>
        <w:shd w:val="clear" w:color="auto" w:fill="FFFFFF"/>
        <w:kinsoku/>
        <w:wordWrap/>
        <w:overflowPunct/>
        <w:topLinePunct w:val="0"/>
        <w:autoSpaceDE/>
        <w:autoSpaceDN/>
        <w:bidi w:val="0"/>
        <w:snapToGrid w:val="0"/>
        <w:spacing w:after="95" w:afterLines="30" w:line="360" w:lineRule="auto"/>
        <w:ind w:right="-227" w:rightChars="-108" w:firstLine="420" w:firstLineChars="200"/>
        <w:jc w:val="left"/>
        <w:textAlignment w:val="auto"/>
        <w:rPr>
          <w:rFonts w:hint="eastAsia" w:ascii="宋体" w:hAnsi="宋体" w:eastAsia="宋体" w:cs="宋体"/>
          <w:b/>
          <w:color w:val="auto"/>
          <w:sz w:val="36"/>
          <w:szCs w:val="36"/>
          <w:highlight w:val="none"/>
        </w:rPr>
      </w:pPr>
      <w:r>
        <w:rPr>
          <w:rFonts w:hint="eastAsia" w:ascii="宋体" w:hAnsi="宋体" w:eastAsia="宋体" w:cs="宋体"/>
          <w:color w:val="auto"/>
          <w:highlight w:val="none"/>
        </w:rPr>
        <w:t xml:space="preserve"> </w:t>
      </w:r>
      <w:r>
        <w:rPr>
          <w:rFonts w:hint="eastAsia" w:ascii="宋体" w:hAnsi="宋体" w:eastAsia="宋体" w:cs="宋体"/>
          <w:color w:val="auto"/>
          <w:szCs w:val="21"/>
          <w:highlight w:val="none"/>
        </w:rPr>
        <w:t xml:space="preserve"> 福建省水利水电工程局有限公司（以下简称“</w:t>
      </w:r>
      <w:r>
        <w:rPr>
          <w:rFonts w:hint="eastAsia" w:ascii="宋体" w:hAnsi="宋体" w:eastAsia="宋体" w:cs="宋体"/>
          <w:color w:val="auto"/>
          <w:szCs w:val="21"/>
          <w:highlight w:val="none"/>
          <w:lang w:val="en-US" w:eastAsia="zh-CN"/>
        </w:rPr>
        <w:t>招选人</w:t>
      </w:r>
      <w:r>
        <w:rPr>
          <w:rFonts w:hint="eastAsia" w:ascii="宋体" w:hAnsi="宋体" w:eastAsia="宋体" w:cs="宋体"/>
          <w:color w:val="auto"/>
          <w:szCs w:val="21"/>
          <w:highlight w:val="none"/>
        </w:rPr>
        <w:t>”）因工程需要，对漳州市东南部沿海地区九龙江调水工程</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一期</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1、2标和（二期）1、3标</w:t>
      </w:r>
      <w:r>
        <w:rPr>
          <w:rFonts w:hint="eastAsia" w:ascii="宋体" w:hAnsi="宋体" w:eastAsia="宋体" w:cs="宋体"/>
          <w:bCs/>
          <w:color w:val="auto"/>
          <w:szCs w:val="21"/>
          <w:highlight w:val="none"/>
          <w:u w:val="single"/>
        </w:rPr>
        <w:t>阀门类材料</w:t>
      </w:r>
      <w:r>
        <w:rPr>
          <w:rFonts w:hint="eastAsia" w:ascii="宋体" w:hAnsi="宋体" w:eastAsia="宋体" w:cs="宋体"/>
          <w:b w:val="0"/>
          <w:bCs w:val="0"/>
          <w:color w:val="auto"/>
          <w:szCs w:val="21"/>
          <w:highlight w:val="none"/>
          <w:u w:val="none"/>
        </w:rPr>
        <w:t>，</w:t>
      </w:r>
      <w:r>
        <w:rPr>
          <w:rFonts w:hint="eastAsia" w:ascii="宋体" w:hAnsi="宋体" w:eastAsia="宋体" w:cs="宋体"/>
          <w:b/>
          <w:bCs/>
          <w:color w:val="auto"/>
          <w:szCs w:val="21"/>
          <w:highlight w:val="none"/>
        </w:rPr>
        <w:t xml:space="preserve"> </w:t>
      </w:r>
      <w:r>
        <w:rPr>
          <w:rFonts w:hint="eastAsia" w:ascii="宋体" w:hAnsi="宋体" w:eastAsia="宋体" w:cs="宋体"/>
          <w:color w:val="auto"/>
          <w:szCs w:val="21"/>
          <w:highlight w:val="none"/>
        </w:rPr>
        <w:t>采用邀请招</w:t>
      </w:r>
      <w:r>
        <w:rPr>
          <w:rFonts w:hint="eastAsia" w:ascii="宋体" w:hAnsi="宋体" w:eastAsia="宋体" w:cs="宋体"/>
          <w:color w:val="auto"/>
          <w:szCs w:val="21"/>
          <w:highlight w:val="none"/>
          <w:lang w:val="en-US" w:eastAsia="zh-CN"/>
        </w:rPr>
        <w:t>选</w:t>
      </w:r>
      <w:r>
        <w:rPr>
          <w:rFonts w:hint="eastAsia" w:ascii="宋体" w:hAnsi="宋体" w:eastAsia="宋体" w:cs="宋体"/>
          <w:color w:val="auto"/>
          <w:szCs w:val="21"/>
          <w:highlight w:val="none"/>
        </w:rPr>
        <w:t>方式。</w:t>
      </w:r>
    </w:p>
    <w:p w14:paraId="11AFC935">
      <w:pPr>
        <w:pStyle w:val="5"/>
        <w:pageBreakBefore w:val="0"/>
        <w:kinsoku/>
        <w:wordWrap/>
        <w:overflowPunct/>
        <w:topLinePunct w:val="0"/>
        <w:autoSpaceDE/>
        <w:autoSpaceDN/>
        <w:bidi w:val="0"/>
        <w:adjustRightInd w:val="0"/>
        <w:snapToGrid w:val="0"/>
        <w:spacing w:before="0" w:after="95" w:afterLines="30" w:line="360" w:lineRule="auto"/>
        <w:ind w:firstLine="562" w:firstLineChars="200"/>
        <w:textAlignment w:val="auto"/>
        <w:rPr>
          <w:rFonts w:hint="eastAsia" w:ascii="宋体" w:hAnsi="宋体" w:eastAsia="宋体" w:cs="宋体"/>
          <w:color w:val="auto"/>
          <w:sz w:val="28"/>
          <w:szCs w:val="28"/>
          <w:highlight w:val="none"/>
        </w:rPr>
      </w:pPr>
      <w:bookmarkStart w:id="26" w:name="_Toc515441260"/>
      <w:bookmarkStart w:id="27" w:name="_Toc7186363"/>
      <w:bookmarkStart w:id="28" w:name="_Toc120110782"/>
      <w:bookmarkStart w:id="29" w:name="_Toc51340206"/>
      <w:bookmarkStart w:id="30" w:name="_Toc511644445"/>
      <w:bookmarkStart w:id="31" w:name="_Toc511645058"/>
      <w:bookmarkStart w:id="32" w:name="_Toc46475108"/>
      <w:bookmarkStart w:id="33" w:name="_Toc50734439"/>
      <w:r>
        <w:rPr>
          <w:rFonts w:hint="eastAsia" w:ascii="宋体" w:hAnsi="宋体" w:eastAsia="宋体" w:cs="宋体"/>
          <w:color w:val="auto"/>
          <w:sz w:val="28"/>
          <w:szCs w:val="28"/>
          <w:highlight w:val="none"/>
          <w:lang w:eastAsia="zh-CN"/>
        </w:rPr>
        <w:t>二、</w:t>
      </w:r>
      <w:r>
        <w:rPr>
          <w:rFonts w:hint="eastAsia" w:ascii="宋体" w:hAnsi="宋体" w:eastAsia="宋体" w:cs="宋体"/>
          <w:color w:val="auto"/>
          <w:sz w:val="28"/>
          <w:szCs w:val="28"/>
          <w:highlight w:val="none"/>
        </w:rPr>
        <w:t xml:space="preserve"> 项目概况与招</w:t>
      </w:r>
      <w:r>
        <w:rPr>
          <w:rFonts w:hint="eastAsia" w:ascii="宋体" w:hAnsi="宋体" w:eastAsia="宋体" w:cs="宋体"/>
          <w:color w:val="auto"/>
          <w:sz w:val="28"/>
          <w:szCs w:val="28"/>
          <w:highlight w:val="none"/>
          <w:lang w:val="en-US" w:eastAsia="zh-CN"/>
        </w:rPr>
        <w:t>选</w:t>
      </w:r>
      <w:r>
        <w:rPr>
          <w:rFonts w:hint="eastAsia" w:ascii="宋体" w:hAnsi="宋体" w:eastAsia="宋体" w:cs="宋体"/>
          <w:color w:val="auto"/>
          <w:sz w:val="28"/>
          <w:szCs w:val="28"/>
          <w:highlight w:val="none"/>
        </w:rPr>
        <w:t>范围</w:t>
      </w:r>
      <w:bookmarkEnd w:id="26"/>
      <w:bookmarkEnd w:id="27"/>
      <w:bookmarkEnd w:id="28"/>
      <w:bookmarkEnd w:id="29"/>
      <w:bookmarkEnd w:id="30"/>
      <w:bookmarkEnd w:id="31"/>
      <w:bookmarkEnd w:id="32"/>
      <w:bookmarkEnd w:id="33"/>
    </w:p>
    <w:p w14:paraId="3AC7572A">
      <w:pPr>
        <w:pageBreakBefore w:val="0"/>
        <w:widowControl/>
        <w:shd w:val="clear" w:color="auto" w:fill="FFFFFF"/>
        <w:kinsoku/>
        <w:wordWrap/>
        <w:overflowPunct/>
        <w:topLinePunct w:val="0"/>
        <w:autoSpaceDE/>
        <w:autoSpaceDN/>
        <w:bidi w:val="0"/>
        <w:snapToGrid w:val="0"/>
        <w:spacing w:after="95" w:afterLines="30" w:line="360" w:lineRule="auto"/>
        <w:ind w:firstLine="420" w:firstLineChars="200"/>
        <w:jc w:val="left"/>
        <w:textAlignment w:val="auto"/>
        <w:rPr>
          <w:rFonts w:hint="eastAsia" w:ascii="宋体" w:hAnsi="宋体" w:eastAsia="宋体" w:cs="宋体"/>
          <w:color w:val="auto"/>
          <w:szCs w:val="21"/>
          <w:highlight w:val="none"/>
          <w:u w:val="single"/>
        </w:rPr>
      </w:pPr>
      <w:bookmarkStart w:id="34" w:name="_Toc511645059"/>
      <w:bookmarkStart w:id="35" w:name="_Toc511644446"/>
      <w:r>
        <w:rPr>
          <w:rFonts w:hint="eastAsia" w:ascii="宋体" w:hAnsi="宋体" w:eastAsia="宋体" w:cs="宋体"/>
          <w:color w:val="auto"/>
          <w:szCs w:val="21"/>
          <w:highlight w:val="none"/>
        </w:rPr>
        <w:t>2.1 供货地点：</w:t>
      </w:r>
      <w:r>
        <w:rPr>
          <w:rFonts w:hint="eastAsia" w:ascii="宋体" w:hAnsi="宋体" w:eastAsia="宋体" w:cs="宋体"/>
          <w:color w:val="auto"/>
          <w:szCs w:val="21"/>
          <w:highlight w:val="none"/>
          <w:u w:val="single"/>
        </w:rPr>
        <w:t>福建省漳州地区；</w:t>
      </w:r>
    </w:p>
    <w:p w14:paraId="13923A65">
      <w:pPr>
        <w:pageBreakBefore w:val="0"/>
        <w:widowControl/>
        <w:shd w:val="clear" w:color="auto" w:fill="FFFFFF"/>
        <w:kinsoku/>
        <w:wordWrap/>
        <w:overflowPunct/>
        <w:topLinePunct w:val="0"/>
        <w:autoSpaceDE/>
        <w:autoSpaceDN/>
        <w:bidi w:val="0"/>
        <w:snapToGrid w:val="0"/>
        <w:spacing w:after="95" w:afterLines="30" w:line="360" w:lineRule="auto"/>
        <w:ind w:firstLine="420"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供货项目：</w:t>
      </w:r>
      <w:r>
        <w:rPr>
          <w:rFonts w:hint="eastAsia" w:ascii="宋体" w:hAnsi="宋体" w:eastAsia="宋体" w:cs="宋体"/>
          <w:color w:val="auto"/>
          <w:szCs w:val="21"/>
          <w:highlight w:val="none"/>
          <w:u w:val="single"/>
        </w:rPr>
        <w:t>公司承建的漳州市东南部沿海地区九龙江调水工程</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lang w:val="en-US" w:eastAsia="zh-CN"/>
        </w:rPr>
        <w:t>一期</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lang w:val="en-US" w:eastAsia="zh-CN"/>
        </w:rPr>
        <w:t>1、2标</w:t>
      </w:r>
      <w:r>
        <w:rPr>
          <w:rFonts w:hint="eastAsia" w:ascii="宋体" w:hAnsi="宋体" w:eastAsia="宋体" w:cs="宋体"/>
          <w:color w:val="auto"/>
          <w:szCs w:val="21"/>
          <w:highlight w:val="none"/>
          <w:lang w:val="en-US" w:eastAsia="zh-CN"/>
        </w:rPr>
        <w:t>和</w:t>
      </w:r>
      <w:r>
        <w:rPr>
          <w:rFonts w:hint="eastAsia" w:ascii="宋体" w:hAnsi="宋体" w:eastAsia="宋体" w:cs="宋体"/>
          <w:color w:val="auto"/>
          <w:szCs w:val="21"/>
          <w:highlight w:val="none"/>
          <w:u w:val="single"/>
          <w:lang w:val="en-US" w:eastAsia="zh-CN"/>
        </w:rPr>
        <w:t>（二期）1、3标</w:t>
      </w:r>
      <w:r>
        <w:rPr>
          <w:rFonts w:hint="eastAsia" w:ascii="宋体" w:hAnsi="宋体" w:eastAsia="宋体" w:cs="宋体"/>
          <w:b/>
          <w:bCs/>
          <w:color w:val="auto"/>
          <w:szCs w:val="21"/>
          <w:highlight w:val="none"/>
          <w:u w:val="single"/>
        </w:rPr>
        <w:t>；</w:t>
      </w:r>
    </w:p>
    <w:p w14:paraId="5A3CF4DA">
      <w:pPr>
        <w:pageBreakBefore w:val="0"/>
        <w:widowControl/>
        <w:shd w:val="clear" w:color="auto" w:fill="FFFFFF"/>
        <w:kinsoku/>
        <w:wordWrap/>
        <w:overflowPunct/>
        <w:topLinePunct w:val="0"/>
        <w:autoSpaceDE/>
        <w:autoSpaceDN/>
        <w:bidi w:val="0"/>
        <w:snapToGrid w:val="0"/>
        <w:spacing w:after="95" w:afterLines="30"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 xml:space="preserve"> 招</w:t>
      </w:r>
      <w:r>
        <w:rPr>
          <w:rFonts w:hint="eastAsia" w:ascii="宋体" w:hAnsi="宋体" w:eastAsia="宋体" w:cs="宋体"/>
          <w:color w:val="auto"/>
          <w:szCs w:val="21"/>
          <w:highlight w:val="none"/>
          <w:lang w:val="en-US" w:eastAsia="zh-CN"/>
        </w:rPr>
        <w:t>选</w:t>
      </w:r>
      <w:r>
        <w:rPr>
          <w:rFonts w:hint="eastAsia" w:ascii="宋体" w:hAnsi="宋体" w:eastAsia="宋体" w:cs="宋体"/>
          <w:color w:val="auto"/>
          <w:szCs w:val="21"/>
          <w:highlight w:val="none"/>
        </w:rPr>
        <w:t>范围和内容</w:t>
      </w:r>
      <w:r>
        <w:rPr>
          <w:rFonts w:hint="eastAsia" w:ascii="宋体" w:hAnsi="宋体" w:eastAsia="宋体" w:cs="宋体"/>
          <w:color w:val="auto"/>
          <w:szCs w:val="21"/>
          <w:highlight w:val="none"/>
          <w:u w:val="single"/>
        </w:rPr>
        <w:t>：漳州市东南部沿海地区九龙江调水工程</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lang w:val="en-US" w:eastAsia="zh-CN"/>
        </w:rPr>
        <w:t>一期</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lang w:val="en-US" w:eastAsia="zh-CN"/>
        </w:rPr>
        <w:t>1、2标</w:t>
      </w:r>
      <w:r>
        <w:rPr>
          <w:rFonts w:hint="eastAsia" w:ascii="宋体" w:hAnsi="宋体" w:eastAsia="宋体" w:cs="宋体"/>
          <w:color w:val="auto"/>
          <w:szCs w:val="21"/>
          <w:highlight w:val="none"/>
          <w:lang w:val="en-US" w:eastAsia="zh-CN"/>
        </w:rPr>
        <w:t>和</w:t>
      </w:r>
      <w:r>
        <w:rPr>
          <w:rFonts w:hint="eastAsia" w:ascii="宋体" w:hAnsi="宋体" w:eastAsia="宋体" w:cs="宋体"/>
          <w:color w:val="auto"/>
          <w:szCs w:val="21"/>
          <w:highlight w:val="none"/>
          <w:u w:val="single"/>
          <w:lang w:val="en-US" w:eastAsia="zh-CN"/>
        </w:rPr>
        <w:t>（二期）1、3标</w:t>
      </w:r>
      <w:r>
        <w:rPr>
          <w:rFonts w:hint="eastAsia" w:ascii="宋体" w:hAnsi="宋体" w:eastAsia="宋体" w:cs="宋体"/>
          <w:color w:val="auto"/>
          <w:szCs w:val="21"/>
          <w:highlight w:val="none"/>
          <w:u w:val="single"/>
        </w:rPr>
        <w:t>项目实施过程中所需的阀门类材料，包括但不限于本项目招</w:t>
      </w:r>
      <w:r>
        <w:rPr>
          <w:rFonts w:hint="eastAsia" w:ascii="宋体" w:hAnsi="宋体" w:eastAsia="宋体" w:cs="宋体"/>
          <w:color w:val="auto"/>
          <w:szCs w:val="21"/>
          <w:highlight w:val="none"/>
          <w:u w:val="single"/>
          <w:lang w:val="en-US" w:eastAsia="zh-CN"/>
        </w:rPr>
        <w:t>选</w:t>
      </w:r>
      <w:r>
        <w:rPr>
          <w:rFonts w:hint="eastAsia" w:ascii="宋体" w:hAnsi="宋体" w:eastAsia="宋体" w:cs="宋体"/>
          <w:color w:val="auto"/>
          <w:szCs w:val="21"/>
          <w:highlight w:val="none"/>
          <w:u w:val="single"/>
        </w:rPr>
        <w:t>清单中的阀门类型；</w:t>
      </w:r>
    </w:p>
    <w:p w14:paraId="68D088DA">
      <w:pPr>
        <w:pageBreakBefore w:val="0"/>
        <w:kinsoku/>
        <w:wordWrap/>
        <w:overflowPunct/>
        <w:topLinePunct w:val="0"/>
        <w:autoSpaceDE/>
        <w:autoSpaceDN/>
        <w:bidi w:val="0"/>
        <w:spacing w:after="95" w:afterLines="30" w:line="360" w:lineRule="auto"/>
        <w:ind w:firstLine="420" w:firstLineChars="20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控制价：</w:t>
      </w:r>
      <w:r>
        <w:rPr>
          <w:rFonts w:hint="eastAsia" w:ascii="宋体" w:hAnsi="宋体" w:eastAsia="宋体" w:cs="宋体"/>
          <w:b/>
          <w:bCs/>
          <w:color w:val="auto"/>
          <w:szCs w:val="21"/>
          <w:highlight w:val="none"/>
          <w:u w:val="single"/>
        </w:rPr>
        <w:t>最高控制价2270万元</w:t>
      </w:r>
      <w:r>
        <w:rPr>
          <w:rFonts w:hint="eastAsia" w:ascii="宋体" w:hAnsi="宋体" w:eastAsia="宋体" w:cs="宋体"/>
          <w:b/>
          <w:bCs/>
          <w:color w:val="auto"/>
          <w:szCs w:val="21"/>
          <w:highlight w:val="none"/>
          <w:u w:val="single"/>
          <w:lang w:eastAsia="zh-CN"/>
        </w:rPr>
        <w:t>。</w:t>
      </w:r>
    </w:p>
    <w:p w14:paraId="6A448E85">
      <w:pPr>
        <w:pageBreakBefore w:val="0"/>
        <w:widowControl/>
        <w:shd w:val="clear" w:color="auto" w:fill="FFFFFF"/>
        <w:kinsoku/>
        <w:wordWrap/>
        <w:overflowPunct/>
        <w:topLinePunct w:val="0"/>
        <w:autoSpaceDE/>
        <w:autoSpaceDN/>
        <w:bidi w:val="0"/>
        <w:snapToGrid w:val="0"/>
        <w:spacing w:after="95" w:afterLines="30"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2.5</w:t>
      </w:r>
      <w:bookmarkStart w:id="36" w:name="OLE_LINK1"/>
      <w:r>
        <w:rPr>
          <w:rFonts w:hint="eastAsia" w:ascii="宋体" w:hAnsi="宋体" w:eastAsia="宋体" w:cs="宋体"/>
          <w:color w:val="auto"/>
          <w:szCs w:val="21"/>
          <w:highlight w:val="none"/>
        </w:rPr>
        <w:t>质量标准</w:t>
      </w:r>
      <w:bookmarkEnd w:id="36"/>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所有采购产品的技术</w:t>
      </w:r>
      <w:r>
        <w:rPr>
          <w:rFonts w:hint="eastAsia" w:ascii="宋体" w:hAnsi="宋体" w:eastAsia="宋体" w:cs="宋体"/>
          <w:color w:val="auto"/>
          <w:szCs w:val="21"/>
          <w:highlight w:val="none"/>
          <w:u w:val="single"/>
        </w:rPr>
        <w:t>参数</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rPr>
        <w:t>性能</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lang w:val="en-US" w:eastAsia="zh-CN"/>
        </w:rPr>
        <w:t>材料及工艺要求等均</w:t>
      </w:r>
      <w:r>
        <w:rPr>
          <w:rFonts w:hint="eastAsia" w:ascii="宋体" w:hAnsi="宋体" w:eastAsia="宋体" w:cs="宋体"/>
          <w:color w:val="auto"/>
          <w:szCs w:val="21"/>
          <w:highlight w:val="none"/>
          <w:u w:val="single"/>
        </w:rPr>
        <w:t>符合</w:t>
      </w:r>
      <w:r>
        <w:rPr>
          <w:rFonts w:hint="eastAsia" w:ascii="宋体" w:hAnsi="宋体" w:eastAsia="宋体" w:cs="宋体"/>
          <w:color w:val="auto"/>
          <w:szCs w:val="21"/>
          <w:highlight w:val="none"/>
          <w:u w:val="single"/>
          <w:lang w:val="en-US" w:eastAsia="zh-CN"/>
        </w:rPr>
        <w:t>主合同设计、图纸及技术条款要求</w:t>
      </w:r>
      <w:r>
        <w:rPr>
          <w:rFonts w:hint="eastAsia" w:ascii="宋体" w:hAnsi="宋体" w:eastAsia="宋体" w:cs="宋体"/>
          <w:color w:val="auto"/>
          <w:szCs w:val="21"/>
          <w:highlight w:val="none"/>
        </w:rPr>
        <w:t>；</w:t>
      </w:r>
    </w:p>
    <w:p w14:paraId="793C725E">
      <w:pPr>
        <w:pageBreakBefore w:val="0"/>
        <w:widowControl/>
        <w:shd w:val="clear" w:color="auto" w:fill="FFFFFF"/>
        <w:kinsoku/>
        <w:wordWrap/>
        <w:overflowPunct/>
        <w:topLinePunct w:val="0"/>
        <w:autoSpaceDE/>
        <w:autoSpaceDN/>
        <w:bidi w:val="0"/>
        <w:snapToGrid w:val="0"/>
        <w:spacing w:after="95" w:afterLines="30"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2.6</w:t>
      </w:r>
      <w:r>
        <w:rPr>
          <w:rFonts w:hint="eastAsia" w:ascii="宋体" w:hAnsi="宋体" w:eastAsia="宋体" w:cs="宋体"/>
          <w:color w:val="auto"/>
          <w:szCs w:val="21"/>
          <w:highlight w:val="none"/>
        </w:rPr>
        <w:t>交货地点：</w:t>
      </w:r>
      <w:r>
        <w:rPr>
          <w:rFonts w:hint="eastAsia" w:ascii="宋体" w:hAnsi="宋体" w:eastAsia="宋体" w:cs="宋体"/>
          <w:color w:val="auto"/>
          <w:szCs w:val="21"/>
          <w:highlight w:val="none"/>
          <w:u w:val="single"/>
        </w:rPr>
        <w:t>各项目部指定的施工现场</w:t>
      </w:r>
      <w:r>
        <w:rPr>
          <w:rFonts w:hint="eastAsia" w:ascii="宋体" w:hAnsi="宋体" w:eastAsia="宋体" w:cs="宋体"/>
          <w:color w:val="auto"/>
          <w:szCs w:val="21"/>
          <w:highlight w:val="none"/>
        </w:rPr>
        <w:t>；</w:t>
      </w:r>
    </w:p>
    <w:p w14:paraId="2E81AEA4">
      <w:pPr>
        <w:pStyle w:val="5"/>
        <w:pageBreakBefore w:val="0"/>
        <w:kinsoku/>
        <w:wordWrap/>
        <w:overflowPunct/>
        <w:topLinePunct w:val="0"/>
        <w:autoSpaceDE/>
        <w:autoSpaceDN/>
        <w:bidi w:val="0"/>
        <w:adjustRightInd w:val="0"/>
        <w:snapToGrid w:val="0"/>
        <w:spacing w:before="0" w:after="95" w:afterLines="30" w:line="360" w:lineRule="auto"/>
        <w:ind w:firstLine="562" w:firstLineChars="200"/>
        <w:textAlignment w:val="auto"/>
        <w:rPr>
          <w:rFonts w:hint="eastAsia" w:ascii="宋体" w:hAnsi="宋体" w:eastAsia="宋体" w:cs="宋体"/>
          <w:color w:val="auto"/>
          <w:sz w:val="28"/>
          <w:szCs w:val="28"/>
          <w:highlight w:val="none"/>
        </w:rPr>
      </w:pPr>
      <w:bookmarkStart w:id="37" w:name="_Toc50734440"/>
      <w:bookmarkStart w:id="38" w:name="_Toc51340207"/>
      <w:bookmarkStart w:id="39" w:name="_Toc120110783"/>
      <w:bookmarkStart w:id="40" w:name="_Toc7186364"/>
      <w:bookmarkStart w:id="41" w:name="_Toc515441261"/>
      <w:bookmarkStart w:id="42" w:name="_Toc46475109"/>
      <w:r>
        <w:rPr>
          <w:rFonts w:hint="eastAsia" w:ascii="宋体" w:hAnsi="宋体" w:eastAsia="宋体" w:cs="宋体"/>
          <w:color w:val="auto"/>
          <w:sz w:val="28"/>
          <w:szCs w:val="28"/>
          <w:highlight w:val="none"/>
          <w:lang w:eastAsia="zh-CN"/>
        </w:rPr>
        <w:t>三、</w:t>
      </w: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参选</w:t>
      </w:r>
      <w:r>
        <w:rPr>
          <w:rFonts w:hint="eastAsia" w:ascii="宋体" w:hAnsi="宋体" w:eastAsia="宋体" w:cs="宋体"/>
          <w:color w:val="auto"/>
          <w:sz w:val="28"/>
          <w:szCs w:val="28"/>
          <w:highlight w:val="none"/>
        </w:rPr>
        <w:t>人资格要求</w:t>
      </w:r>
      <w:bookmarkEnd w:id="34"/>
      <w:bookmarkEnd w:id="35"/>
      <w:r>
        <w:rPr>
          <w:rFonts w:hint="eastAsia" w:ascii="宋体" w:hAnsi="宋体" w:eastAsia="宋体" w:cs="宋体"/>
          <w:color w:val="auto"/>
          <w:sz w:val="28"/>
          <w:szCs w:val="28"/>
          <w:highlight w:val="none"/>
        </w:rPr>
        <w:t>及审查办法</w:t>
      </w:r>
      <w:bookmarkEnd w:id="37"/>
      <w:bookmarkEnd w:id="38"/>
      <w:bookmarkEnd w:id="39"/>
      <w:bookmarkEnd w:id="40"/>
      <w:bookmarkEnd w:id="41"/>
      <w:bookmarkEnd w:id="42"/>
    </w:p>
    <w:p w14:paraId="0BDBD307">
      <w:pPr>
        <w:pageBreakBefore w:val="0"/>
        <w:widowControl/>
        <w:shd w:val="clear" w:color="auto" w:fill="FFFFFF"/>
        <w:kinsoku/>
        <w:wordWrap/>
        <w:overflowPunct/>
        <w:topLinePunct w:val="0"/>
        <w:autoSpaceDE/>
        <w:autoSpaceDN/>
        <w:bidi w:val="0"/>
        <w:snapToGrid w:val="0"/>
        <w:spacing w:after="95" w:afterLines="30"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 本次招</w:t>
      </w:r>
      <w:r>
        <w:rPr>
          <w:rFonts w:hint="eastAsia" w:ascii="宋体" w:hAnsi="宋体" w:eastAsia="宋体" w:cs="宋体"/>
          <w:color w:val="auto"/>
          <w:szCs w:val="21"/>
          <w:highlight w:val="none"/>
          <w:lang w:val="en-US" w:eastAsia="zh-CN"/>
        </w:rPr>
        <w:t>选</w:t>
      </w:r>
      <w:r>
        <w:rPr>
          <w:rFonts w:hint="eastAsia" w:ascii="宋体" w:hAnsi="宋体" w:eastAsia="宋体" w:cs="宋体"/>
          <w:color w:val="auto"/>
          <w:szCs w:val="21"/>
          <w:highlight w:val="none"/>
        </w:rPr>
        <w:t>要求</w:t>
      </w:r>
    </w:p>
    <w:p w14:paraId="4A56FE5B">
      <w:pPr>
        <w:keepNext w:val="0"/>
        <w:keepLines w:val="0"/>
        <w:pageBreakBefore w:val="0"/>
        <w:widowControl/>
        <w:shd w:val="clear" w:color="auto" w:fill="FFFFFF"/>
        <w:kinsoku/>
        <w:wordWrap/>
        <w:overflowPunct/>
        <w:topLinePunct w:val="0"/>
        <w:autoSpaceDE/>
        <w:autoSpaceDN/>
        <w:bidi w:val="0"/>
        <w:adjustRightInd/>
        <w:snapToGrid w:val="0"/>
        <w:spacing w:after="95" w:afterLines="30"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w:t>
      </w:r>
      <w:r>
        <w:rPr>
          <w:rFonts w:hint="eastAsia" w:ascii="宋体" w:hAnsi="宋体" w:eastAsia="宋体" w:cs="宋体"/>
          <w:color w:val="auto"/>
          <w:szCs w:val="21"/>
          <w:highlight w:val="none"/>
          <w:u w:val="single"/>
          <w:lang w:val="en-US" w:eastAsia="zh-CN"/>
        </w:rPr>
        <w:t>参选人</w:t>
      </w:r>
      <w:r>
        <w:rPr>
          <w:rFonts w:hint="eastAsia" w:ascii="宋体" w:hAnsi="宋体" w:eastAsia="宋体" w:cs="宋体"/>
          <w:color w:val="auto"/>
          <w:szCs w:val="21"/>
          <w:highlight w:val="none"/>
          <w:u w:val="single"/>
        </w:rPr>
        <w:t>应为中华人民共和国境内依法注册的独立企业法人。</w:t>
      </w:r>
    </w:p>
    <w:p w14:paraId="70CEE097">
      <w:pPr>
        <w:keepNext w:val="0"/>
        <w:keepLines w:val="0"/>
        <w:pageBreakBefore w:val="0"/>
        <w:widowControl/>
        <w:shd w:val="clear" w:color="auto" w:fill="FFFFFF"/>
        <w:kinsoku/>
        <w:wordWrap/>
        <w:overflowPunct/>
        <w:topLinePunct w:val="0"/>
        <w:autoSpaceDE/>
        <w:autoSpaceDN/>
        <w:bidi w:val="0"/>
        <w:adjustRightInd/>
        <w:snapToGrid w:val="0"/>
        <w:spacing w:after="95" w:afterLines="30" w:line="360" w:lineRule="auto"/>
        <w:ind w:firstLine="420" w:firstLineChars="200"/>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②</w:t>
      </w:r>
      <w:r>
        <w:rPr>
          <w:rFonts w:hint="eastAsia" w:ascii="宋体" w:hAnsi="宋体" w:eastAsia="宋体" w:cs="宋体"/>
          <w:color w:val="auto"/>
          <w:szCs w:val="21"/>
          <w:highlight w:val="none"/>
          <w:u w:val="single"/>
          <w:lang w:val="en-US" w:eastAsia="zh-CN"/>
        </w:rPr>
        <w:t>参选人</w:t>
      </w:r>
      <w:r>
        <w:rPr>
          <w:rFonts w:hint="eastAsia" w:ascii="宋体" w:hAnsi="宋体" w:eastAsia="宋体" w:cs="宋体"/>
          <w:color w:val="auto"/>
          <w:szCs w:val="21"/>
          <w:highlight w:val="none"/>
          <w:u w:val="single"/>
        </w:rPr>
        <w:t>须具备合法有效的企业营业执照。</w:t>
      </w:r>
    </w:p>
    <w:p w14:paraId="103FCD0C">
      <w:pPr>
        <w:keepNext w:val="0"/>
        <w:keepLines w:val="0"/>
        <w:pageBreakBefore w:val="0"/>
        <w:widowControl/>
        <w:shd w:val="clear" w:color="auto" w:fill="FFFFFF"/>
        <w:kinsoku/>
        <w:wordWrap/>
        <w:overflowPunct/>
        <w:topLinePunct w:val="0"/>
        <w:autoSpaceDE/>
        <w:autoSpaceDN/>
        <w:bidi w:val="0"/>
        <w:adjustRightInd/>
        <w:snapToGrid w:val="0"/>
        <w:spacing w:after="95" w:afterLines="30"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w:t>
      </w:r>
      <w:r>
        <w:rPr>
          <w:rFonts w:hint="eastAsia" w:ascii="宋体" w:hAnsi="宋体" w:eastAsia="宋体" w:cs="宋体"/>
          <w:color w:val="auto"/>
          <w:szCs w:val="21"/>
          <w:highlight w:val="none"/>
          <w:u w:val="single"/>
          <w:lang w:val="en-US" w:eastAsia="zh-CN"/>
        </w:rPr>
        <w:t>参选人</w:t>
      </w:r>
      <w:r>
        <w:rPr>
          <w:rFonts w:hint="eastAsia" w:ascii="宋体" w:hAnsi="宋体" w:eastAsia="宋体" w:cs="宋体"/>
          <w:color w:val="auto"/>
          <w:szCs w:val="21"/>
          <w:highlight w:val="none"/>
          <w:u w:val="single"/>
        </w:rPr>
        <w:t>应为产品的生产（制造）厂家</w:t>
      </w:r>
      <w:r>
        <w:rPr>
          <w:rFonts w:hint="eastAsia" w:ascii="宋体" w:hAnsi="宋体" w:eastAsia="宋体" w:cs="宋体"/>
          <w:color w:val="auto"/>
          <w:szCs w:val="21"/>
          <w:highlight w:val="none"/>
        </w:rPr>
        <w:t>。</w:t>
      </w:r>
    </w:p>
    <w:p w14:paraId="1E1EE605">
      <w:pPr>
        <w:keepNext w:val="0"/>
        <w:keepLines w:val="0"/>
        <w:pageBreakBefore w:val="0"/>
        <w:widowControl/>
        <w:shd w:val="clear" w:color="auto" w:fill="FFFFFF"/>
        <w:kinsoku/>
        <w:wordWrap/>
        <w:overflowPunct/>
        <w:topLinePunct w:val="0"/>
        <w:autoSpaceDE/>
        <w:autoSpaceDN/>
        <w:bidi w:val="0"/>
        <w:adjustRightInd/>
        <w:snapToGrid w:val="0"/>
        <w:spacing w:after="95" w:afterLines="30" w:line="360" w:lineRule="auto"/>
        <w:ind w:left="420" w:leftChars="200" w:firstLine="0" w:firstLineChars="0"/>
        <w:jc w:val="left"/>
        <w:textAlignment w:val="auto"/>
        <w:rPr>
          <w:rFonts w:hint="eastAsia" w:ascii="宋体" w:hAnsi="宋体" w:eastAsia="宋体" w:cs="宋体"/>
          <w:lang w:val="en-US" w:eastAsia="zh-CN"/>
        </w:rPr>
      </w:pPr>
      <w:r>
        <w:rPr>
          <w:rFonts w:hint="eastAsia" w:ascii="宋体" w:hAnsi="宋体" w:eastAsia="宋体" w:cs="宋体"/>
          <w:b w:val="0"/>
          <w:bCs w:val="0"/>
          <w:color w:val="auto"/>
          <w:szCs w:val="21"/>
          <w:highlight w:val="none"/>
          <w:u w:val="none"/>
        </w:rPr>
        <w:fldChar w:fldCharType="begin"/>
      </w:r>
      <w:r>
        <w:rPr>
          <w:rFonts w:hint="eastAsia" w:ascii="宋体" w:hAnsi="宋体" w:eastAsia="宋体" w:cs="宋体"/>
          <w:b w:val="0"/>
          <w:bCs w:val="0"/>
          <w:color w:val="auto"/>
          <w:szCs w:val="21"/>
          <w:highlight w:val="none"/>
          <w:u w:val="none"/>
        </w:rPr>
        <w:instrText xml:space="preserve"> = 4 \* GB3 </w:instrText>
      </w:r>
      <w:r>
        <w:rPr>
          <w:rFonts w:hint="eastAsia" w:ascii="宋体" w:hAnsi="宋体" w:eastAsia="宋体" w:cs="宋体"/>
          <w:b w:val="0"/>
          <w:bCs w:val="0"/>
          <w:color w:val="auto"/>
          <w:szCs w:val="21"/>
          <w:highlight w:val="none"/>
          <w:u w:val="none"/>
        </w:rPr>
        <w:fldChar w:fldCharType="separate"/>
      </w:r>
      <w:r>
        <w:rPr>
          <w:rFonts w:hint="eastAsia" w:ascii="宋体" w:hAnsi="宋体" w:eastAsia="宋体" w:cs="宋体"/>
          <w:b w:val="0"/>
          <w:bCs w:val="0"/>
          <w:color w:val="auto"/>
          <w:szCs w:val="21"/>
          <w:highlight w:val="none"/>
          <w:u w:val="none"/>
        </w:rPr>
        <w:t>④</w:t>
      </w:r>
      <w:r>
        <w:rPr>
          <w:rFonts w:hint="eastAsia" w:ascii="宋体" w:hAnsi="宋体" w:eastAsia="宋体" w:cs="宋体"/>
          <w:b w:val="0"/>
          <w:bCs w:val="0"/>
          <w:color w:val="auto"/>
          <w:szCs w:val="21"/>
          <w:highlight w:val="none"/>
          <w:u w:val="none"/>
        </w:rPr>
        <w:fldChar w:fldCharType="end"/>
      </w:r>
      <w:r>
        <w:rPr>
          <w:rFonts w:hint="eastAsia" w:ascii="宋体" w:hAnsi="宋体" w:eastAsia="宋体" w:cs="宋体"/>
          <w:color w:val="auto"/>
          <w:kern w:val="2"/>
          <w:sz w:val="21"/>
          <w:szCs w:val="21"/>
          <w:highlight w:val="none"/>
          <w:lang w:val="en-US" w:eastAsia="zh-CN" w:bidi="ar-SA"/>
        </w:rPr>
        <w:t>具备</w:t>
      </w:r>
      <w:r>
        <w:rPr>
          <w:rFonts w:hint="eastAsia" w:ascii="宋体" w:hAnsi="宋体" w:eastAsia="宋体" w:cs="宋体"/>
          <w:color w:val="auto"/>
          <w:sz w:val="21"/>
          <w:szCs w:val="21"/>
          <w:highlight w:val="none"/>
        </w:rPr>
        <w:t>压力管道元件制造</w:t>
      </w:r>
      <w:r>
        <w:rPr>
          <w:rFonts w:hint="eastAsia" w:ascii="宋体" w:hAnsi="宋体" w:eastAsia="宋体" w:cs="宋体"/>
          <w:color w:val="auto"/>
          <w:kern w:val="2"/>
          <w:sz w:val="21"/>
          <w:szCs w:val="21"/>
          <w:highlight w:val="none"/>
          <w:lang w:val="en-US" w:eastAsia="zh-CN" w:bidi="ar-SA"/>
        </w:rPr>
        <w:t>金属阀门类的</w:t>
      </w:r>
      <w:r>
        <w:rPr>
          <w:rFonts w:hint="eastAsia" w:ascii="宋体" w:hAnsi="宋体" w:eastAsia="宋体" w:cs="宋体"/>
          <w:b w:val="0"/>
          <w:bCs w:val="0"/>
          <w:color w:val="auto"/>
          <w:kern w:val="2"/>
          <w:sz w:val="21"/>
          <w:szCs w:val="21"/>
          <w:highlight w:val="none"/>
          <w:u w:val="single"/>
          <w:lang w:val="en-US" w:eastAsia="zh-CN" w:bidi="ar-SA"/>
        </w:rPr>
        <w:t>“特种设备生产许可证”</w:t>
      </w:r>
      <w:r>
        <w:rPr>
          <w:rFonts w:hint="eastAsia" w:ascii="宋体" w:hAnsi="宋体" w:eastAsia="宋体" w:cs="宋体"/>
          <w:b w:val="0"/>
          <w:bCs w:val="0"/>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lang w:val="en-US" w:eastAsia="zh-CN" w:bidi="ar-SA"/>
        </w:rPr>
        <w:t>且证书在有效期内；</w:t>
      </w:r>
      <w:r>
        <w:rPr>
          <w:rFonts w:hint="eastAsia" w:ascii="宋体" w:hAnsi="宋体" w:eastAsia="宋体" w:cs="宋体"/>
          <w:lang w:val="en-US" w:eastAsia="zh-CN"/>
        </w:rPr>
        <w:t>⑤需提供一个及以上管径≥2400mm的类似阀门制造业绩；</w:t>
      </w:r>
    </w:p>
    <w:p w14:paraId="51590534">
      <w:pPr>
        <w:keepNext w:val="0"/>
        <w:keepLines w:val="0"/>
        <w:pageBreakBefore w:val="0"/>
        <w:widowControl/>
        <w:shd w:val="clear" w:color="auto" w:fill="FFFFFF"/>
        <w:kinsoku/>
        <w:wordWrap/>
        <w:overflowPunct/>
        <w:topLinePunct w:val="0"/>
        <w:autoSpaceDE/>
        <w:autoSpaceDN/>
        <w:bidi w:val="0"/>
        <w:adjustRightInd/>
        <w:snapToGrid w:val="0"/>
        <w:spacing w:after="95" w:afterLines="30" w:line="360" w:lineRule="auto"/>
        <w:ind w:firstLine="420" w:firstLineChars="200"/>
        <w:jc w:val="left"/>
        <w:textAlignment w:val="auto"/>
        <w:rPr>
          <w:rFonts w:hint="eastAsia" w:ascii="宋体" w:hAnsi="宋体" w:eastAsia="宋体" w:cs="宋体"/>
          <w:color w:val="auto"/>
          <w:kern w:val="44"/>
          <w:szCs w:val="21"/>
          <w:highlight w:val="none"/>
        </w:rPr>
      </w:pPr>
      <w:r>
        <w:rPr>
          <w:rFonts w:hint="eastAsia" w:ascii="宋体" w:hAnsi="宋体" w:eastAsia="宋体" w:cs="宋体"/>
          <w:color w:val="auto"/>
          <w:kern w:val="44"/>
          <w:sz w:val="21"/>
          <w:szCs w:val="21"/>
          <w:highlight w:val="none"/>
        </w:rPr>
        <w:t>⑥</w:t>
      </w:r>
      <w:r>
        <w:rPr>
          <w:rFonts w:hint="eastAsia" w:ascii="宋体" w:hAnsi="宋体" w:eastAsia="宋体" w:cs="宋体"/>
          <w:color w:val="auto"/>
          <w:kern w:val="44"/>
          <w:szCs w:val="21"/>
          <w:highlight w:val="none"/>
        </w:rPr>
        <w:t>未被“信用中国”网站列入失信被执行人名单、重大税收违法案件当事人名单、政府采购严重违法失信行为记录名单。未被“国家企业信用信息公示系统”网站列入经营异常名录信息、严重违法失信企业名单（黑名单）信息。</w:t>
      </w:r>
    </w:p>
    <w:p w14:paraId="06D9E927">
      <w:pPr>
        <w:keepNext w:val="0"/>
        <w:keepLines w:val="0"/>
        <w:pageBreakBefore w:val="0"/>
        <w:widowControl/>
        <w:shd w:val="clear" w:color="auto" w:fill="FFFFFF"/>
        <w:kinsoku/>
        <w:wordWrap/>
        <w:overflowPunct/>
        <w:topLinePunct w:val="0"/>
        <w:autoSpaceDE/>
        <w:autoSpaceDN/>
        <w:bidi w:val="0"/>
        <w:adjustRightInd/>
        <w:snapToGrid w:val="0"/>
        <w:spacing w:after="95" w:afterLines="30" w:line="360" w:lineRule="auto"/>
        <w:ind w:firstLine="420" w:firstLineChars="200"/>
        <w:jc w:val="left"/>
        <w:textAlignment w:val="auto"/>
        <w:rPr>
          <w:rFonts w:hint="eastAsia" w:ascii="宋体" w:hAnsi="宋体" w:eastAsia="宋体" w:cs="宋体"/>
          <w:color w:val="auto"/>
          <w:kern w:val="44"/>
          <w:sz w:val="21"/>
          <w:szCs w:val="21"/>
          <w:highlight w:val="none"/>
        </w:rPr>
      </w:pPr>
      <w:r>
        <w:rPr>
          <w:rFonts w:hint="eastAsia" w:ascii="宋体" w:hAnsi="宋体" w:eastAsia="宋体" w:cs="宋体"/>
          <w:lang w:val="en-US" w:eastAsia="zh-CN"/>
        </w:rPr>
        <w:t>⑦参选人</w:t>
      </w:r>
      <w:r>
        <w:rPr>
          <w:rFonts w:hint="eastAsia" w:ascii="宋体" w:hAnsi="宋体" w:eastAsia="宋体" w:cs="宋体"/>
        </w:rPr>
        <w:t>应提交参加政府采购活动前三年内，在经营活动中没有重大违法记录，也无行贿犯罪记录的书面声明。</w:t>
      </w:r>
    </w:p>
    <w:p w14:paraId="339B6ECA">
      <w:pPr>
        <w:keepNext w:val="0"/>
        <w:keepLines w:val="0"/>
        <w:pageBreakBefore w:val="0"/>
        <w:kinsoku/>
        <w:wordWrap/>
        <w:overflowPunct/>
        <w:topLinePunct w:val="0"/>
        <w:autoSpaceDE/>
        <w:autoSpaceDN/>
        <w:bidi w:val="0"/>
        <w:adjustRightInd/>
        <w:ind w:firstLine="420" w:firstLineChars="200"/>
        <w:textAlignment w:val="auto"/>
        <w:rPr>
          <w:rFonts w:hint="eastAsia" w:ascii="宋体" w:hAnsi="宋体" w:eastAsia="宋体" w:cs="宋体"/>
        </w:rPr>
      </w:pPr>
      <w:r>
        <w:rPr>
          <w:rFonts w:hint="eastAsia" w:ascii="宋体" w:hAnsi="宋体" w:eastAsia="宋体" w:cs="宋体"/>
        </w:rPr>
        <w:t>⑧</w:t>
      </w:r>
      <w:r>
        <w:rPr>
          <w:rFonts w:hint="eastAsia" w:ascii="宋体" w:hAnsi="宋体" w:eastAsia="宋体" w:cs="宋体"/>
          <w:lang w:val="en-US" w:eastAsia="zh-CN"/>
        </w:rPr>
        <w:t>为便于公司、检测单位、项目业主和监理可能驻厂监造、检测、抽检取样等，生产厂家需承诺能提供便利条件。</w:t>
      </w:r>
    </w:p>
    <w:p w14:paraId="46D7A865">
      <w:pPr>
        <w:keepNext w:val="0"/>
        <w:keepLines w:val="0"/>
        <w:pageBreakBefore w:val="0"/>
        <w:kinsoku/>
        <w:wordWrap/>
        <w:overflowPunct/>
        <w:topLinePunct w:val="0"/>
        <w:autoSpaceDE/>
        <w:autoSpaceDN/>
        <w:bidi w:val="0"/>
        <w:adjustRightInd/>
        <w:spacing w:after="251" w:afterLines="80"/>
        <w:ind w:firstLine="420" w:firstLineChars="200"/>
        <w:textAlignment w:val="auto"/>
        <w:rPr>
          <w:rFonts w:hint="eastAsia" w:ascii="宋体" w:hAnsi="宋体" w:eastAsia="宋体" w:cs="宋体"/>
        </w:rPr>
      </w:pPr>
      <w:r>
        <w:rPr>
          <w:rFonts w:hint="eastAsia" w:ascii="宋体" w:hAnsi="宋体" w:eastAsia="宋体" w:cs="宋体"/>
          <w:lang w:val="en-US" w:eastAsia="zh-CN"/>
        </w:rPr>
        <w:t>⑨参选人</w:t>
      </w:r>
      <w:r>
        <w:rPr>
          <w:rFonts w:hint="eastAsia" w:ascii="宋体" w:hAnsi="宋体" w:eastAsia="宋体" w:cs="宋体"/>
        </w:rPr>
        <w:t>应依法纳税</w:t>
      </w:r>
      <w:r>
        <w:rPr>
          <w:rFonts w:hint="eastAsia" w:ascii="宋体" w:hAnsi="宋体" w:eastAsia="宋体" w:cs="宋体"/>
          <w:lang w:eastAsia="zh-CN"/>
        </w:rPr>
        <w:t>，</w:t>
      </w:r>
      <w:r>
        <w:rPr>
          <w:rFonts w:hint="eastAsia" w:ascii="宋体" w:hAnsi="宋体" w:eastAsia="宋体" w:cs="宋体"/>
          <w:lang w:val="en-US" w:eastAsia="zh-CN"/>
        </w:rPr>
        <w:t>且</w:t>
      </w:r>
      <w:r>
        <w:rPr>
          <w:rFonts w:hint="eastAsia" w:ascii="宋体" w:hAnsi="宋体" w:eastAsia="宋体" w:cs="宋体"/>
        </w:rPr>
        <w:t>财务状况良好。</w:t>
      </w:r>
    </w:p>
    <w:p w14:paraId="5A77AF31">
      <w:pPr>
        <w:keepNext w:val="0"/>
        <w:keepLines w:val="0"/>
        <w:pageBreakBefore w:val="0"/>
        <w:widowControl/>
        <w:shd w:val="clear" w:color="auto" w:fill="FFFFFF"/>
        <w:kinsoku/>
        <w:wordWrap/>
        <w:overflowPunct/>
        <w:topLinePunct w:val="0"/>
        <w:autoSpaceDE/>
        <w:autoSpaceDN/>
        <w:bidi w:val="0"/>
        <w:adjustRightInd/>
        <w:snapToGrid w:val="0"/>
        <w:spacing w:after="251" w:afterLines="80"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 本次招</w:t>
      </w:r>
      <w:r>
        <w:rPr>
          <w:rFonts w:hint="eastAsia" w:ascii="宋体" w:hAnsi="宋体" w:eastAsia="宋体" w:cs="宋体"/>
          <w:color w:val="auto"/>
          <w:szCs w:val="21"/>
          <w:highlight w:val="none"/>
          <w:lang w:val="en-US" w:eastAsia="zh-CN"/>
        </w:rPr>
        <w:t>选</w:t>
      </w:r>
      <w:r>
        <w:rPr>
          <w:rFonts w:hint="eastAsia" w:ascii="宋体" w:hAnsi="宋体" w:eastAsia="宋体" w:cs="宋体"/>
          <w:color w:val="auto"/>
          <w:szCs w:val="21"/>
          <w:highlight w:val="none"/>
          <w:u w:val="single"/>
        </w:rPr>
        <w:t>不接受</w:t>
      </w:r>
      <w:r>
        <w:rPr>
          <w:rFonts w:hint="eastAsia" w:ascii="宋体" w:hAnsi="宋体" w:eastAsia="宋体" w:cs="宋体"/>
          <w:color w:val="auto"/>
          <w:szCs w:val="21"/>
          <w:highlight w:val="none"/>
        </w:rPr>
        <w:t>（接受或不接受）联合体</w:t>
      </w:r>
      <w:r>
        <w:rPr>
          <w:rFonts w:hint="eastAsia" w:ascii="宋体" w:hAnsi="宋体" w:eastAsia="宋体" w:cs="宋体"/>
          <w:color w:val="auto"/>
          <w:szCs w:val="21"/>
          <w:highlight w:val="none"/>
          <w:lang w:val="en-US" w:eastAsia="zh-CN"/>
        </w:rPr>
        <w:t>参加</w:t>
      </w:r>
      <w:r>
        <w:rPr>
          <w:rFonts w:hint="eastAsia" w:ascii="宋体" w:hAnsi="宋体" w:eastAsia="宋体" w:cs="宋体"/>
          <w:color w:val="auto"/>
          <w:szCs w:val="21"/>
          <w:highlight w:val="none"/>
        </w:rPr>
        <w:t>。</w:t>
      </w:r>
    </w:p>
    <w:p w14:paraId="1A9852BA">
      <w:pPr>
        <w:pStyle w:val="5"/>
        <w:pageBreakBefore w:val="0"/>
        <w:kinsoku/>
        <w:wordWrap/>
        <w:overflowPunct/>
        <w:topLinePunct w:val="0"/>
        <w:autoSpaceDE/>
        <w:autoSpaceDN/>
        <w:bidi w:val="0"/>
        <w:adjustRightInd w:val="0"/>
        <w:snapToGrid w:val="0"/>
        <w:spacing w:before="0" w:after="95" w:afterLines="30" w:line="360" w:lineRule="auto"/>
        <w:ind w:firstLine="562" w:firstLineChars="200"/>
        <w:textAlignment w:val="auto"/>
        <w:rPr>
          <w:rFonts w:hint="eastAsia" w:ascii="宋体" w:hAnsi="宋体" w:eastAsia="宋体" w:cs="宋体"/>
          <w:color w:val="auto"/>
          <w:sz w:val="28"/>
          <w:szCs w:val="28"/>
          <w:highlight w:val="none"/>
        </w:rPr>
      </w:pPr>
      <w:bookmarkStart w:id="43" w:name="_Toc515441262"/>
      <w:bookmarkStart w:id="44" w:name="_Toc51340208"/>
      <w:bookmarkStart w:id="45" w:name="_Toc46475110"/>
      <w:bookmarkStart w:id="46" w:name="_Toc511645060"/>
      <w:bookmarkStart w:id="47" w:name="_Toc120110784"/>
      <w:bookmarkStart w:id="48" w:name="_Toc511644447"/>
      <w:bookmarkStart w:id="49" w:name="_Toc50734441"/>
      <w:bookmarkStart w:id="50" w:name="_Toc7186365"/>
      <w:r>
        <w:rPr>
          <w:rFonts w:hint="eastAsia" w:ascii="宋体" w:hAnsi="宋体" w:eastAsia="宋体" w:cs="宋体"/>
          <w:color w:val="auto"/>
          <w:sz w:val="28"/>
          <w:szCs w:val="28"/>
          <w:highlight w:val="none"/>
          <w:lang w:eastAsia="zh-CN"/>
        </w:rPr>
        <w:t>四、</w:t>
      </w:r>
      <w:r>
        <w:rPr>
          <w:rFonts w:hint="eastAsia" w:ascii="宋体" w:hAnsi="宋体" w:eastAsia="宋体" w:cs="宋体"/>
          <w:color w:val="auto"/>
          <w:sz w:val="28"/>
          <w:szCs w:val="28"/>
          <w:highlight w:val="none"/>
        </w:rPr>
        <w:t xml:space="preserve"> 招</w:t>
      </w:r>
      <w:r>
        <w:rPr>
          <w:rFonts w:hint="eastAsia" w:ascii="宋体" w:hAnsi="宋体" w:eastAsia="宋体" w:cs="宋体"/>
          <w:color w:val="auto"/>
          <w:sz w:val="28"/>
          <w:szCs w:val="28"/>
          <w:highlight w:val="none"/>
          <w:lang w:val="en-US" w:eastAsia="zh-CN"/>
        </w:rPr>
        <w:t>选</w:t>
      </w:r>
      <w:r>
        <w:rPr>
          <w:rFonts w:hint="eastAsia" w:ascii="宋体" w:hAnsi="宋体" w:eastAsia="宋体" w:cs="宋体"/>
          <w:color w:val="auto"/>
          <w:sz w:val="28"/>
          <w:szCs w:val="28"/>
          <w:highlight w:val="none"/>
        </w:rPr>
        <w:t>文件的获取</w:t>
      </w:r>
      <w:bookmarkEnd w:id="43"/>
      <w:bookmarkEnd w:id="44"/>
      <w:bookmarkEnd w:id="45"/>
      <w:bookmarkEnd w:id="46"/>
      <w:bookmarkEnd w:id="47"/>
      <w:bookmarkEnd w:id="48"/>
      <w:bookmarkEnd w:id="49"/>
      <w:bookmarkEnd w:id="50"/>
    </w:p>
    <w:p w14:paraId="03AC3074">
      <w:pPr>
        <w:pageBreakBefore w:val="0"/>
        <w:kinsoku/>
        <w:wordWrap/>
        <w:overflowPunct/>
        <w:topLinePunct w:val="0"/>
        <w:autoSpaceDE/>
        <w:autoSpaceDN/>
        <w:bidi w:val="0"/>
        <w:spacing w:after="95" w:afterLines="30"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4.1凡收到公司</w:t>
      </w:r>
      <w:r>
        <w:rPr>
          <w:rFonts w:hint="eastAsia" w:ascii="宋体" w:hAnsi="宋体" w:eastAsia="宋体" w:cs="宋体"/>
          <w:color w:val="auto"/>
          <w:sz w:val="21"/>
          <w:szCs w:val="21"/>
          <w:highlight w:val="none"/>
          <w:lang w:val="en-US" w:eastAsia="zh-CN"/>
        </w:rPr>
        <w:t>参选</w:t>
      </w:r>
      <w:r>
        <w:rPr>
          <w:rFonts w:hint="eastAsia" w:ascii="宋体" w:hAnsi="宋体" w:eastAsia="宋体" w:cs="宋体"/>
          <w:color w:val="auto"/>
          <w:sz w:val="21"/>
          <w:szCs w:val="21"/>
          <w:highlight w:val="none"/>
        </w:rPr>
        <w:t>邀请函的供应商，可于</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lang w:val="en-US" w:eastAsia="zh-CN"/>
        </w:rPr>
        <w:t xml:space="preserve"> 7</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u w:val="single"/>
          <w:lang w:val="en-US" w:eastAsia="zh-CN"/>
        </w:rPr>
        <w:t>29</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u w:val="single"/>
        </w:rPr>
        <w:t>08</w:t>
      </w:r>
      <w:r>
        <w:rPr>
          <w:rFonts w:hint="eastAsia" w:ascii="宋体" w:hAnsi="宋体" w:eastAsia="宋体" w:cs="宋体"/>
          <w:color w:val="auto"/>
          <w:sz w:val="21"/>
          <w:szCs w:val="21"/>
          <w:highlight w:val="none"/>
        </w:rPr>
        <w:t>时至</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u w:val="single"/>
        </w:rPr>
        <w:t>18</w:t>
      </w:r>
      <w:r>
        <w:rPr>
          <w:rFonts w:hint="eastAsia" w:ascii="宋体" w:hAnsi="宋体" w:eastAsia="宋体" w:cs="宋体"/>
          <w:color w:val="auto"/>
          <w:sz w:val="21"/>
          <w:szCs w:val="21"/>
          <w:highlight w:val="none"/>
        </w:rPr>
        <w:t>时(北京时间，下同)，登入公司网页</w:t>
      </w:r>
      <w:r>
        <w:rPr>
          <w:rFonts w:hint="eastAsia" w:ascii="宋体" w:hAnsi="宋体" w:eastAsia="宋体" w:cs="宋体"/>
          <w:color w:val="auto"/>
          <w:sz w:val="21"/>
          <w:szCs w:val="21"/>
          <w:highlight w:val="none"/>
          <w:lang w:eastAsia="zh-CN"/>
        </w:rPr>
        <w:t>（http://www.fjsdgc.com）</w:t>
      </w:r>
      <w:r>
        <w:rPr>
          <w:rFonts w:hint="eastAsia" w:ascii="宋体" w:hAnsi="宋体" w:eastAsia="宋体" w:cs="宋体"/>
          <w:color w:val="auto"/>
          <w:sz w:val="21"/>
          <w:szCs w:val="21"/>
          <w:highlight w:val="none"/>
        </w:rPr>
        <w:t>下载招标文件电子版或由公司指定联系人直接发送。</w:t>
      </w:r>
      <w:r>
        <w:rPr>
          <w:rFonts w:hint="eastAsia" w:ascii="宋体" w:hAnsi="宋体" w:eastAsia="宋体" w:cs="宋体"/>
          <w:color w:val="auto"/>
          <w:kern w:val="21"/>
          <w:sz w:val="21"/>
          <w:szCs w:val="21"/>
          <w:highlight w:val="none"/>
        </w:rPr>
        <w:t xml:space="preserve"> </w:t>
      </w:r>
      <w:r>
        <w:rPr>
          <w:rFonts w:hint="eastAsia" w:ascii="宋体" w:hAnsi="宋体" w:eastAsia="宋体" w:cs="宋体"/>
          <w:color w:val="auto"/>
          <w:kern w:val="21"/>
          <w:sz w:val="21"/>
          <w:szCs w:val="21"/>
          <w:highlight w:val="none"/>
          <w:lang w:val="en-US" w:eastAsia="zh-CN"/>
        </w:rPr>
        <w:t>联系人：陈杏林，电话：15980066363。</w:t>
      </w:r>
    </w:p>
    <w:p w14:paraId="439717B6">
      <w:pPr>
        <w:pStyle w:val="5"/>
        <w:pageBreakBefore w:val="0"/>
        <w:kinsoku/>
        <w:wordWrap/>
        <w:overflowPunct/>
        <w:topLinePunct w:val="0"/>
        <w:autoSpaceDE/>
        <w:autoSpaceDN/>
        <w:bidi w:val="0"/>
        <w:adjustRightInd w:val="0"/>
        <w:snapToGrid w:val="0"/>
        <w:spacing w:before="0" w:after="95" w:afterLines="30" w:line="360" w:lineRule="auto"/>
        <w:ind w:firstLine="562" w:firstLineChars="200"/>
        <w:textAlignment w:val="auto"/>
        <w:rPr>
          <w:rFonts w:hint="eastAsia" w:ascii="宋体" w:hAnsi="宋体" w:eastAsia="宋体" w:cs="宋体"/>
          <w:color w:val="auto"/>
          <w:sz w:val="28"/>
          <w:szCs w:val="28"/>
          <w:highlight w:val="none"/>
        </w:rPr>
      </w:pPr>
      <w:bookmarkStart w:id="51" w:name="_Toc459841941"/>
      <w:bookmarkStart w:id="52" w:name="_Toc459238481"/>
      <w:bookmarkStart w:id="53" w:name="_Toc74668651"/>
      <w:bookmarkStart w:id="54" w:name="_Toc449513784"/>
      <w:bookmarkStart w:id="55" w:name="_Toc109888247"/>
      <w:bookmarkStart w:id="56" w:name="_Toc439237889"/>
      <w:bookmarkStart w:id="57" w:name="_Toc120110785"/>
      <w:bookmarkStart w:id="58" w:name="_Toc439237560"/>
      <w:bookmarkStart w:id="59" w:name="_Toc24299735"/>
      <w:r>
        <w:rPr>
          <w:rFonts w:hint="eastAsia" w:ascii="宋体" w:hAnsi="宋体" w:eastAsia="宋体" w:cs="宋体"/>
          <w:color w:val="auto"/>
          <w:sz w:val="28"/>
          <w:szCs w:val="28"/>
          <w:highlight w:val="none"/>
        </w:rPr>
        <w:t>五、 评选办法</w:t>
      </w:r>
      <w:bookmarkEnd w:id="51"/>
      <w:bookmarkEnd w:id="52"/>
      <w:bookmarkEnd w:id="53"/>
      <w:bookmarkEnd w:id="54"/>
      <w:bookmarkEnd w:id="55"/>
      <w:bookmarkEnd w:id="56"/>
      <w:bookmarkEnd w:id="57"/>
      <w:bookmarkEnd w:id="58"/>
      <w:bookmarkEnd w:id="59"/>
    </w:p>
    <w:p w14:paraId="4089A239">
      <w:pPr>
        <w:pageBreakBefore w:val="0"/>
        <w:tabs>
          <w:tab w:val="left" w:pos="360"/>
        </w:tabs>
        <w:kinsoku/>
        <w:wordWrap/>
        <w:overflowPunct/>
        <w:topLinePunct w:val="0"/>
        <w:autoSpaceDE/>
        <w:autoSpaceDN/>
        <w:bidi w:val="0"/>
        <w:spacing w:after="95" w:afterLines="30" w:line="360" w:lineRule="auto"/>
        <w:ind w:firstLine="420" w:firstLineChars="200"/>
        <w:textAlignment w:val="auto"/>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5.1评选办法：</w:t>
      </w:r>
      <w:r>
        <w:rPr>
          <w:rFonts w:hint="eastAsia" w:ascii="宋体" w:hAnsi="宋体" w:eastAsia="宋体" w:cs="宋体"/>
          <w:b/>
          <w:bCs/>
          <w:color w:val="auto"/>
          <w:szCs w:val="21"/>
          <w:highlight w:val="none"/>
          <w:u w:val="single"/>
        </w:rPr>
        <w:t>最低</w:t>
      </w:r>
      <w:r>
        <w:rPr>
          <w:rFonts w:hint="eastAsia" w:ascii="宋体" w:hAnsi="宋体" w:eastAsia="宋体" w:cs="宋体"/>
          <w:b/>
          <w:bCs/>
          <w:color w:val="auto"/>
          <w:szCs w:val="21"/>
          <w:highlight w:val="none"/>
          <w:u w:val="single"/>
          <w:lang w:val="en-US" w:eastAsia="zh-CN"/>
        </w:rPr>
        <w:t>价中选法。</w:t>
      </w:r>
    </w:p>
    <w:p w14:paraId="11CE9D55">
      <w:pPr>
        <w:pStyle w:val="5"/>
        <w:pageBreakBefore w:val="0"/>
        <w:kinsoku/>
        <w:wordWrap/>
        <w:overflowPunct/>
        <w:topLinePunct w:val="0"/>
        <w:autoSpaceDE/>
        <w:autoSpaceDN/>
        <w:bidi w:val="0"/>
        <w:spacing w:after="95" w:afterLines="30" w:line="360" w:lineRule="auto"/>
        <w:ind w:firstLine="562" w:firstLineChars="200"/>
        <w:textAlignment w:val="auto"/>
        <w:rPr>
          <w:rFonts w:hint="eastAsia" w:ascii="宋体" w:hAnsi="宋体" w:eastAsia="宋体" w:cs="宋体"/>
          <w:bCs w:val="0"/>
          <w:color w:val="auto"/>
          <w:sz w:val="28"/>
          <w:szCs w:val="28"/>
          <w:highlight w:val="none"/>
        </w:rPr>
      </w:pPr>
      <w:bookmarkStart w:id="60" w:name="_Toc449513785"/>
      <w:bookmarkStart w:id="61" w:name="_Toc459238482"/>
      <w:bookmarkStart w:id="62" w:name="_Toc459841942"/>
      <w:bookmarkStart w:id="63" w:name="_Toc74668652"/>
      <w:bookmarkStart w:id="64" w:name="_Toc439237890"/>
      <w:bookmarkStart w:id="65" w:name="_Toc120110786"/>
      <w:bookmarkStart w:id="66" w:name="_Toc439237561"/>
      <w:bookmarkStart w:id="67" w:name="_Toc109888248"/>
      <w:bookmarkStart w:id="68" w:name="_Toc24299736"/>
      <w:r>
        <w:rPr>
          <w:rFonts w:hint="eastAsia" w:ascii="宋体" w:hAnsi="宋体" w:eastAsia="宋体" w:cs="宋体"/>
          <w:bCs w:val="0"/>
          <w:color w:val="auto"/>
          <w:sz w:val="28"/>
          <w:szCs w:val="28"/>
          <w:highlight w:val="none"/>
        </w:rPr>
        <w:t>六、</w:t>
      </w:r>
      <w:r>
        <w:rPr>
          <w:rFonts w:hint="eastAsia" w:ascii="宋体" w:hAnsi="宋体" w:eastAsia="宋体" w:cs="宋体"/>
          <w:bCs w:val="0"/>
          <w:color w:val="auto"/>
          <w:sz w:val="28"/>
          <w:szCs w:val="28"/>
          <w:highlight w:val="none"/>
          <w:lang w:val="en-US" w:eastAsia="zh-CN"/>
        </w:rPr>
        <w:t>参选</w:t>
      </w:r>
      <w:r>
        <w:rPr>
          <w:rFonts w:hint="eastAsia" w:ascii="宋体" w:hAnsi="宋体" w:eastAsia="宋体" w:cs="宋体"/>
          <w:bCs w:val="0"/>
          <w:color w:val="auto"/>
          <w:sz w:val="28"/>
          <w:szCs w:val="28"/>
          <w:highlight w:val="none"/>
        </w:rPr>
        <w:t>保证金的提交</w:t>
      </w:r>
      <w:bookmarkEnd w:id="60"/>
      <w:bookmarkEnd w:id="61"/>
      <w:bookmarkEnd w:id="62"/>
      <w:bookmarkEnd w:id="63"/>
      <w:bookmarkEnd w:id="64"/>
      <w:bookmarkEnd w:id="65"/>
      <w:bookmarkEnd w:id="66"/>
      <w:bookmarkEnd w:id="67"/>
      <w:bookmarkEnd w:id="68"/>
    </w:p>
    <w:p w14:paraId="662B3A9F">
      <w:pPr>
        <w:pageBreakBefore w:val="0"/>
        <w:tabs>
          <w:tab w:val="left" w:pos="360"/>
        </w:tabs>
        <w:kinsoku/>
        <w:wordWrap/>
        <w:overflowPunct/>
        <w:topLinePunct w:val="0"/>
        <w:autoSpaceDE/>
        <w:autoSpaceDN/>
        <w:bidi w:val="0"/>
        <w:spacing w:after="95" w:afterLines="30" w:line="360" w:lineRule="auto"/>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6.1</w:t>
      </w:r>
      <w:r>
        <w:rPr>
          <w:rFonts w:hint="eastAsia" w:ascii="宋体" w:hAnsi="宋体" w:eastAsia="宋体" w:cs="宋体"/>
          <w:b/>
          <w:bCs/>
          <w:color w:val="auto"/>
          <w:szCs w:val="21"/>
          <w:highlight w:val="none"/>
        </w:rPr>
        <w:t>本合同包</w:t>
      </w:r>
      <w:r>
        <w:rPr>
          <w:rFonts w:hint="eastAsia" w:ascii="宋体" w:hAnsi="宋体" w:eastAsia="宋体" w:cs="宋体"/>
          <w:b/>
          <w:bCs/>
          <w:color w:val="auto"/>
          <w:szCs w:val="21"/>
          <w:highlight w:val="none"/>
          <w:lang w:val="en-US" w:eastAsia="zh-CN"/>
        </w:rPr>
        <w:t>参选</w:t>
      </w:r>
      <w:r>
        <w:rPr>
          <w:rFonts w:hint="eastAsia" w:ascii="宋体" w:hAnsi="宋体" w:eastAsia="宋体" w:cs="宋体"/>
          <w:b/>
          <w:bCs/>
          <w:color w:val="auto"/>
          <w:szCs w:val="21"/>
          <w:highlight w:val="none"/>
        </w:rPr>
        <w:t>保证金采用汇款方式。提交的金额：</w:t>
      </w:r>
      <w:r>
        <w:rPr>
          <w:rFonts w:hint="eastAsia" w:ascii="宋体" w:hAnsi="宋体" w:eastAsia="宋体" w:cs="宋体"/>
          <w:b/>
          <w:bCs/>
          <w:color w:val="auto"/>
          <w:szCs w:val="21"/>
          <w:highlight w:val="none"/>
          <w:u w:val="single"/>
        </w:rPr>
        <w:t xml:space="preserve"> 人民币贰拾万元</w:t>
      </w:r>
      <w:r>
        <w:rPr>
          <w:rFonts w:hint="eastAsia" w:ascii="宋体" w:hAnsi="宋体" w:eastAsia="宋体" w:cs="宋体"/>
          <w:color w:val="auto"/>
          <w:szCs w:val="21"/>
          <w:highlight w:val="none"/>
          <w:u w:val="single"/>
        </w:rPr>
        <w:t>。</w:t>
      </w:r>
      <w:r>
        <w:rPr>
          <w:rFonts w:hint="eastAsia" w:ascii="宋体" w:hAnsi="宋体" w:eastAsia="宋体" w:cs="宋体"/>
          <w:b/>
          <w:bCs/>
          <w:color w:val="auto"/>
          <w:szCs w:val="21"/>
          <w:highlight w:val="none"/>
          <w:u w:val="single"/>
        </w:rPr>
        <w:t>未按规定提交</w:t>
      </w:r>
      <w:r>
        <w:rPr>
          <w:rFonts w:hint="eastAsia" w:ascii="宋体" w:hAnsi="宋体" w:eastAsia="宋体" w:cs="宋体"/>
          <w:b/>
          <w:bCs/>
          <w:color w:val="auto"/>
          <w:szCs w:val="21"/>
          <w:highlight w:val="none"/>
          <w:u w:val="single"/>
          <w:lang w:val="en-US" w:eastAsia="zh-CN"/>
        </w:rPr>
        <w:t>参选</w:t>
      </w:r>
      <w:r>
        <w:rPr>
          <w:rFonts w:hint="eastAsia" w:ascii="宋体" w:hAnsi="宋体" w:eastAsia="宋体" w:cs="宋体"/>
          <w:b/>
          <w:bCs/>
          <w:color w:val="auto"/>
          <w:szCs w:val="21"/>
          <w:highlight w:val="none"/>
          <w:u w:val="single"/>
        </w:rPr>
        <w:t>保证金的</w:t>
      </w:r>
      <w:r>
        <w:rPr>
          <w:rFonts w:hint="eastAsia" w:ascii="宋体" w:hAnsi="宋体" w:eastAsia="宋体" w:cs="宋体"/>
          <w:b/>
          <w:bCs/>
          <w:color w:val="auto"/>
          <w:szCs w:val="21"/>
          <w:highlight w:val="none"/>
          <w:u w:val="single"/>
          <w:lang w:val="en-US" w:eastAsia="zh-CN"/>
        </w:rPr>
        <w:t>参选</w:t>
      </w:r>
      <w:r>
        <w:rPr>
          <w:rFonts w:hint="eastAsia" w:ascii="宋体" w:hAnsi="宋体" w:eastAsia="宋体" w:cs="宋体"/>
          <w:b/>
          <w:bCs/>
          <w:color w:val="auto"/>
          <w:szCs w:val="21"/>
          <w:highlight w:val="none"/>
          <w:u w:val="single"/>
        </w:rPr>
        <w:t>文件将被拒绝。</w:t>
      </w:r>
    </w:p>
    <w:p w14:paraId="6A89C0EF">
      <w:pPr>
        <w:pageBreakBefore w:val="0"/>
        <w:widowControl/>
        <w:tabs>
          <w:tab w:val="left" w:pos="900"/>
          <w:tab w:val="left" w:pos="1100"/>
        </w:tabs>
        <w:kinsoku/>
        <w:wordWrap/>
        <w:overflowPunct/>
        <w:topLinePunct w:val="0"/>
        <w:autoSpaceDE/>
        <w:autoSpaceDN/>
        <w:bidi w:val="0"/>
        <w:spacing w:after="95" w:afterLines="30"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6.2提交的时间</w:t>
      </w:r>
      <w:r>
        <w:rPr>
          <w:rFonts w:hint="eastAsia" w:ascii="宋体" w:hAnsi="宋体" w:eastAsia="宋体" w:cs="宋体"/>
          <w:b/>
          <w:color w:val="auto"/>
          <w:szCs w:val="21"/>
          <w:highlight w:val="none"/>
        </w:rPr>
        <w:t>：在</w:t>
      </w:r>
      <w:r>
        <w:rPr>
          <w:rFonts w:hint="eastAsia" w:ascii="宋体" w:hAnsi="宋体" w:eastAsia="宋体" w:cs="宋体"/>
          <w:b/>
          <w:color w:val="auto"/>
          <w:szCs w:val="21"/>
          <w:highlight w:val="none"/>
          <w:u w:val="single"/>
          <w:lang w:val="en-US" w:eastAsia="zh-CN"/>
        </w:rPr>
        <w:t>2026</w:t>
      </w:r>
      <w:r>
        <w:rPr>
          <w:rFonts w:hint="eastAsia" w:ascii="宋体" w:hAnsi="宋体" w:eastAsia="宋体" w:cs="宋体"/>
          <w:b/>
          <w:color w:val="auto"/>
          <w:szCs w:val="21"/>
          <w:highlight w:val="none"/>
        </w:rPr>
        <w:t>年</w:t>
      </w:r>
      <w:r>
        <w:rPr>
          <w:rFonts w:hint="eastAsia" w:ascii="宋体" w:hAnsi="宋体" w:eastAsia="宋体" w:cs="宋体"/>
          <w:b/>
          <w:color w:val="auto"/>
          <w:szCs w:val="21"/>
          <w:highlight w:val="none"/>
          <w:u w:val="single"/>
          <w:lang w:val="en-US" w:eastAsia="zh-CN"/>
        </w:rPr>
        <w:t xml:space="preserve"> 8</w:t>
      </w:r>
      <w:r>
        <w:rPr>
          <w:rFonts w:hint="eastAsia" w:ascii="宋体" w:hAnsi="宋体" w:eastAsia="宋体" w:cs="宋体"/>
          <w:b/>
          <w:color w:val="auto"/>
          <w:szCs w:val="21"/>
          <w:highlight w:val="none"/>
        </w:rPr>
        <w:t>月</w:t>
      </w:r>
      <w:r>
        <w:rPr>
          <w:rFonts w:hint="eastAsia" w:ascii="宋体" w:hAnsi="宋体" w:eastAsia="宋体" w:cs="宋体"/>
          <w:b/>
          <w:color w:val="auto"/>
          <w:szCs w:val="21"/>
          <w:highlight w:val="none"/>
          <w:u w:val="single"/>
          <w:lang w:val="en-US" w:eastAsia="zh-CN"/>
        </w:rPr>
        <w:t xml:space="preserve"> 6 </w:t>
      </w:r>
      <w:r>
        <w:rPr>
          <w:rFonts w:hint="eastAsia" w:ascii="宋体" w:hAnsi="宋体" w:eastAsia="宋体" w:cs="宋体"/>
          <w:b/>
          <w:color w:val="auto"/>
          <w:szCs w:val="21"/>
          <w:highlight w:val="none"/>
        </w:rPr>
        <w:t>日</w:t>
      </w:r>
      <w:r>
        <w:rPr>
          <w:rFonts w:hint="eastAsia" w:ascii="宋体" w:hAnsi="宋体" w:eastAsia="宋体" w:cs="宋体"/>
          <w:b/>
          <w:color w:val="auto"/>
          <w:szCs w:val="21"/>
          <w:highlight w:val="none"/>
          <w:u w:val="single"/>
          <w:lang w:eastAsia="zh-CN"/>
        </w:rPr>
        <w:t>18</w:t>
      </w:r>
      <w:r>
        <w:rPr>
          <w:rFonts w:hint="eastAsia" w:ascii="宋体" w:hAnsi="宋体" w:eastAsia="宋体" w:cs="宋体"/>
          <w:b/>
          <w:color w:val="auto"/>
          <w:szCs w:val="21"/>
          <w:highlight w:val="none"/>
          <w:lang w:eastAsia="zh-CN"/>
        </w:rPr>
        <w:t>时</w:t>
      </w:r>
      <w:r>
        <w:rPr>
          <w:rFonts w:hint="eastAsia" w:ascii="宋体" w:hAnsi="宋体" w:eastAsia="宋体" w:cs="宋体"/>
          <w:b/>
          <w:color w:val="auto"/>
          <w:szCs w:val="21"/>
          <w:highlight w:val="none"/>
          <w:u w:val="single"/>
          <w:lang w:eastAsia="zh-CN"/>
        </w:rPr>
        <w:t>00</w:t>
      </w:r>
      <w:r>
        <w:rPr>
          <w:rFonts w:hint="eastAsia" w:ascii="宋体" w:hAnsi="宋体" w:eastAsia="宋体" w:cs="宋体"/>
          <w:b/>
          <w:color w:val="auto"/>
          <w:szCs w:val="21"/>
          <w:highlight w:val="none"/>
        </w:rPr>
        <w:t>分</w:t>
      </w:r>
      <w:r>
        <w:rPr>
          <w:rFonts w:hint="eastAsia" w:ascii="宋体" w:hAnsi="宋体" w:eastAsia="宋体" w:cs="宋体"/>
          <w:b/>
          <w:color w:val="auto"/>
          <w:szCs w:val="21"/>
          <w:highlight w:val="none"/>
          <w:u w:val="single"/>
        </w:rPr>
        <w:t>前汇到公司指定银行账户</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以银行到账时间为准。</w:t>
      </w:r>
    </w:p>
    <w:p w14:paraId="128DF593">
      <w:pPr>
        <w:pageBreakBefore w:val="0"/>
        <w:widowControl/>
        <w:tabs>
          <w:tab w:val="left" w:pos="900"/>
          <w:tab w:val="left" w:pos="1100"/>
        </w:tabs>
        <w:kinsoku/>
        <w:wordWrap/>
        <w:overflowPunct/>
        <w:topLinePunct w:val="0"/>
        <w:autoSpaceDE/>
        <w:autoSpaceDN/>
        <w:bidi w:val="0"/>
        <w:spacing w:after="95" w:afterLines="30"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保证金提交的方式：银行转账，从</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人的存款账户转账形式汇达以下指定账户</w:t>
      </w:r>
    </w:p>
    <w:p w14:paraId="38D6100D">
      <w:pPr>
        <w:pageBreakBefore w:val="0"/>
        <w:widowControl/>
        <w:tabs>
          <w:tab w:val="left" w:pos="900"/>
          <w:tab w:val="left" w:pos="1100"/>
        </w:tabs>
        <w:kinsoku/>
        <w:wordWrap/>
        <w:overflowPunct/>
        <w:topLinePunct w:val="0"/>
        <w:autoSpaceDE/>
        <w:autoSpaceDN/>
        <w:bidi w:val="0"/>
        <w:spacing w:after="95" w:afterLines="30" w:line="360" w:lineRule="auto"/>
        <w:ind w:firstLine="420" w:firstLineChars="200"/>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户名：</w:t>
      </w:r>
      <w:r>
        <w:rPr>
          <w:rFonts w:hint="eastAsia" w:ascii="宋体" w:hAnsi="宋体" w:eastAsia="宋体" w:cs="宋体"/>
          <w:color w:val="auto"/>
          <w:szCs w:val="21"/>
          <w:highlight w:val="none"/>
          <w:u w:val="single"/>
        </w:rPr>
        <w:t>福建省水利水电工程局有限公司直属分公司</w:t>
      </w:r>
    </w:p>
    <w:p w14:paraId="651D1510">
      <w:pPr>
        <w:pageBreakBefore w:val="0"/>
        <w:widowControl/>
        <w:tabs>
          <w:tab w:val="left" w:pos="900"/>
          <w:tab w:val="left" w:pos="1100"/>
        </w:tabs>
        <w:kinsoku/>
        <w:wordWrap/>
        <w:overflowPunct/>
        <w:topLinePunct w:val="0"/>
        <w:autoSpaceDE/>
        <w:autoSpaceDN/>
        <w:bidi w:val="0"/>
        <w:spacing w:after="95" w:afterLines="30"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账号：</w:t>
      </w:r>
      <w:r>
        <w:rPr>
          <w:rFonts w:hint="eastAsia" w:ascii="宋体" w:hAnsi="宋体" w:eastAsia="宋体" w:cs="宋体"/>
          <w:color w:val="auto"/>
          <w:szCs w:val="21"/>
          <w:highlight w:val="none"/>
          <w:u w:val="single"/>
        </w:rPr>
        <w:t>8030 1300 0003 84</w:t>
      </w:r>
    </w:p>
    <w:p w14:paraId="496E3F39">
      <w:pPr>
        <w:pageBreakBefore w:val="0"/>
        <w:widowControl/>
        <w:tabs>
          <w:tab w:val="left" w:pos="900"/>
          <w:tab w:val="left" w:pos="1100"/>
        </w:tabs>
        <w:kinsoku/>
        <w:wordWrap/>
        <w:overflowPunct/>
        <w:topLinePunct w:val="0"/>
        <w:autoSpaceDE/>
        <w:autoSpaceDN/>
        <w:bidi w:val="0"/>
        <w:spacing w:after="95" w:afterLines="30"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开户行：</w:t>
      </w:r>
      <w:r>
        <w:rPr>
          <w:rFonts w:hint="eastAsia" w:ascii="宋体" w:hAnsi="宋体" w:eastAsia="宋体" w:cs="宋体"/>
          <w:color w:val="auto"/>
          <w:szCs w:val="21"/>
          <w:highlight w:val="none"/>
          <w:u w:val="single"/>
        </w:rPr>
        <w:t>厦门银行泉州分行营业部</w:t>
      </w:r>
      <w:r>
        <w:rPr>
          <w:rFonts w:hint="eastAsia" w:ascii="宋体" w:hAnsi="宋体" w:eastAsia="宋体" w:cs="宋体"/>
          <w:color w:val="auto"/>
          <w:szCs w:val="21"/>
          <w:highlight w:val="none"/>
        </w:rPr>
        <w:t>；</w:t>
      </w:r>
    </w:p>
    <w:p w14:paraId="720DD1E5">
      <w:pPr>
        <w:pageBreakBefore w:val="0"/>
        <w:widowControl/>
        <w:shd w:val="clear" w:color="auto" w:fill="FFFFFF"/>
        <w:kinsoku/>
        <w:wordWrap/>
        <w:overflowPunct/>
        <w:topLinePunct w:val="0"/>
        <w:autoSpaceDE/>
        <w:autoSpaceDN/>
        <w:bidi w:val="0"/>
        <w:snapToGrid w:val="0"/>
        <w:spacing w:after="95" w:afterLines="30"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转账汇款单写明：</w:t>
      </w:r>
      <w:r>
        <w:rPr>
          <w:rFonts w:hint="eastAsia" w:ascii="宋体" w:hAnsi="宋体" w:eastAsia="宋体" w:cs="宋体"/>
          <w:bCs/>
          <w:color w:val="auto"/>
          <w:szCs w:val="21"/>
          <w:highlight w:val="none"/>
          <w:u w:val="single"/>
        </w:rPr>
        <w:t>漳州市东南部沿海地区九龙江调水工程阀门类采购</w:t>
      </w:r>
      <w:r>
        <w:rPr>
          <w:rFonts w:hint="eastAsia" w:ascii="宋体" w:hAnsi="宋体" w:eastAsia="宋体" w:cs="宋体"/>
          <w:bCs/>
          <w:color w:val="auto"/>
          <w:szCs w:val="21"/>
          <w:highlight w:val="none"/>
          <w:u w:val="single"/>
          <w:lang w:eastAsia="zh-CN"/>
        </w:rPr>
        <w:t>（</w:t>
      </w:r>
      <w:r>
        <w:rPr>
          <w:rFonts w:hint="eastAsia" w:ascii="宋体" w:hAnsi="宋体" w:eastAsia="宋体" w:cs="宋体"/>
          <w:bCs/>
          <w:color w:val="auto"/>
          <w:szCs w:val="21"/>
          <w:highlight w:val="none"/>
          <w:u w:val="single"/>
          <w:lang w:val="en-US" w:eastAsia="zh-CN"/>
        </w:rPr>
        <w:t>重新招选）参选</w:t>
      </w:r>
      <w:r>
        <w:rPr>
          <w:rFonts w:hint="eastAsia" w:ascii="宋体" w:hAnsi="宋体" w:eastAsia="宋体" w:cs="宋体"/>
          <w:color w:val="auto"/>
          <w:szCs w:val="21"/>
          <w:highlight w:val="none"/>
          <w:u w:val="single"/>
        </w:rPr>
        <w:t>保证金；</w:t>
      </w:r>
    </w:p>
    <w:p w14:paraId="0F23BA43">
      <w:pPr>
        <w:pStyle w:val="5"/>
        <w:pageBreakBefore w:val="0"/>
        <w:kinsoku/>
        <w:wordWrap/>
        <w:overflowPunct/>
        <w:topLinePunct w:val="0"/>
        <w:autoSpaceDE/>
        <w:autoSpaceDN/>
        <w:bidi w:val="0"/>
        <w:adjustRightInd w:val="0"/>
        <w:snapToGrid w:val="0"/>
        <w:spacing w:before="0" w:after="95" w:afterLines="30" w:line="360" w:lineRule="auto"/>
        <w:ind w:firstLine="562" w:firstLineChars="200"/>
        <w:textAlignment w:val="auto"/>
        <w:rPr>
          <w:rFonts w:hint="eastAsia" w:ascii="宋体" w:hAnsi="宋体" w:eastAsia="宋体" w:cs="宋体"/>
          <w:color w:val="auto"/>
          <w:sz w:val="28"/>
          <w:szCs w:val="28"/>
          <w:highlight w:val="none"/>
        </w:rPr>
      </w:pPr>
      <w:bookmarkStart w:id="69" w:name="_Toc46475111"/>
      <w:bookmarkStart w:id="70" w:name="_Toc51340209"/>
      <w:bookmarkStart w:id="71" w:name="_Toc120110787"/>
      <w:bookmarkStart w:id="72" w:name="_Toc515441263"/>
      <w:bookmarkStart w:id="73" w:name="_Toc511644448"/>
      <w:bookmarkStart w:id="74" w:name="_Toc50734442"/>
      <w:bookmarkStart w:id="75" w:name="_Toc511645061"/>
      <w:bookmarkStart w:id="76" w:name="_Toc7186366"/>
      <w:r>
        <w:rPr>
          <w:rFonts w:hint="eastAsia" w:ascii="宋体" w:hAnsi="宋体" w:eastAsia="宋体" w:cs="宋体"/>
          <w:color w:val="auto"/>
          <w:sz w:val="28"/>
          <w:szCs w:val="28"/>
          <w:highlight w:val="none"/>
          <w:lang w:eastAsia="zh-CN"/>
        </w:rPr>
        <w:t>七、</w:t>
      </w: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参选</w:t>
      </w:r>
      <w:r>
        <w:rPr>
          <w:rFonts w:hint="eastAsia" w:ascii="宋体" w:hAnsi="宋体" w:eastAsia="宋体" w:cs="宋体"/>
          <w:color w:val="auto"/>
          <w:sz w:val="28"/>
          <w:szCs w:val="28"/>
          <w:highlight w:val="none"/>
        </w:rPr>
        <w:t>文件的递交</w:t>
      </w:r>
      <w:bookmarkEnd w:id="69"/>
      <w:bookmarkEnd w:id="70"/>
      <w:bookmarkEnd w:id="71"/>
      <w:bookmarkEnd w:id="72"/>
      <w:bookmarkEnd w:id="73"/>
      <w:bookmarkEnd w:id="74"/>
      <w:bookmarkEnd w:id="75"/>
      <w:bookmarkEnd w:id="76"/>
    </w:p>
    <w:p w14:paraId="3AA9C96C">
      <w:pPr>
        <w:pageBreakBefore w:val="0"/>
        <w:widowControl/>
        <w:shd w:val="clear" w:color="auto" w:fill="FFFFFF"/>
        <w:kinsoku/>
        <w:wordWrap/>
        <w:overflowPunct/>
        <w:topLinePunct w:val="0"/>
        <w:autoSpaceDE/>
        <w:autoSpaceDN/>
        <w:bidi w:val="0"/>
        <w:snapToGrid w:val="0"/>
        <w:spacing w:after="95" w:afterLines="30"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7.1 </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文件递交的截止时间（</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截止时间，下同）</w:t>
      </w:r>
      <w:r>
        <w:rPr>
          <w:rFonts w:hint="eastAsia" w:ascii="宋体" w:hAnsi="宋体" w:eastAsia="宋体" w:cs="宋体"/>
          <w:color w:val="auto"/>
          <w:szCs w:val="21"/>
          <w:highlight w:val="none"/>
          <w:u w:val="single"/>
        </w:rPr>
        <w:t>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8</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lang w:val="en-US" w:eastAsia="zh-CN"/>
        </w:rPr>
        <w:t xml:space="preserve"> 7 </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u w:val="single"/>
        </w:rPr>
        <w:t>16</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u w:val="single"/>
        </w:rPr>
        <w:t>30</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人应在截止时间前递交书面</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文件。</w:t>
      </w:r>
      <w:r>
        <w:rPr>
          <w:rFonts w:hint="eastAsia" w:ascii="宋体" w:hAnsi="宋体" w:eastAsia="宋体" w:cs="宋体"/>
          <w:b/>
          <w:bCs/>
          <w:color w:val="auto"/>
          <w:szCs w:val="21"/>
          <w:highlight w:val="none"/>
        </w:rPr>
        <w:t>地点为</w:t>
      </w:r>
      <w:r>
        <w:rPr>
          <w:rFonts w:hint="eastAsia" w:ascii="宋体" w:hAnsi="宋体" w:eastAsia="宋体" w:cs="宋体"/>
          <w:b/>
          <w:bCs/>
          <w:color w:val="auto"/>
          <w:kern w:val="0"/>
          <w:szCs w:val="21"/>
          <w:highlight w:val="none"/>
          <w:u w:val="single"/>
        </w:rPr>
        <w:t>福建省水利水电工程局有限公司四楼</w:t>
      </w:r>
      <w:r>
        <w:rPr>
          <w:rFonts w:hint="eastAsia" w:ascii="宋体" w:hAnsi="宋体" w:eastAsia="宋体" w:cs="宋体"/>
          <w:b/>
          <w:bCs/>
          <w:color w:val="auto"/>
          <w:kern w:val="0"/>
          <w:szCs w:val="21"/>
          <w:highlight w:val="none"/>
          <w:u w:val="single"/>
          <w:lang w:val="en-US" w:eastAsia="zh-CN"/>
        </w:rPr>
        <w:t>407</w:t>
      </w:r>
      <w:r>
        <w:rPr>
          <w:rFonts w:hint="eastAsia" w:ascii="宋体" w:hAnsi="宋体" w:eastAsia="宋体" w:cs="宋体"/>
          <w:b/>
          <w:bCs/>
          <w:color w:val="auto"/>
          <w:kern w:val="0"/>
          <w:szCs w:val="21"/>
          <w:highlight w:val="none"/>
          <w:u w:val="single"/>
        </w:rPr>
        <w:t>会议室（福建省泉州市丰泽区丰惠路87号）。</w:t>
      </w:r>
    </w:p>
    <w:p w14:paraId="52FEFF3D">
      <w:pPr>
        <w:pageBreakBefore w:val="0"/>
        <w:widowControl/>
        <w:tabs>
          <w:tab w:val="left" w:pos="510"/>
          <w:tab w:val="left" w:pos="900"/>
          <w:tab w:val="left" w:pos="1100"/>
        </w:tabs>
        <w:kinsoku/>
        <w:wordWrap/>
        <w:overflowPunct/>
        <w:topLinePunct w:val="0"/>
        <w:autoSpaceDE/>
        <w:autoSpaceDN/>
        <w:bidi w:val="0"/>
        <w:spacing w:after="95" w:afterLines="30"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参选人</w:t>
      </w:r>
      <w:r>
        <w:rPr>
          <w:rFonts w:hint="eastAsia" w:ascii="宋体" w:hAnsi="宋体" w:eastAsia="宋体" w:cs="宋体"/>
          <w:bCs/>
          <w:color w:val="auto"/>
          <w:szCs w:val="21"/>
          <w:highlight w:val="none"/>
        </w:rPr>
        <w:t>持身份证原件或授权委托书及被授权人身份证原件、</w:t>
      </w:r>
      <w:r>
        <w:rPr>
          <w:rFonts w:hint="eastAsia" w:ascii="宋体" w:hAnsi="宋体" w:eastAsia="宋体" w:cs="宋体"/>
          <w:bCs/>
          <w:color w:val="auto"/>
          <w:szCs w:val="21"/>
          <w:highlight w:val="none"/>
          <w:lang w:val="en-US" w:eastAsia="zh-CN"/>
        </w:rPr>
        <w:t>参选</w:t>
      </w:r>
      <w:r>
        <w:rPr>
          <w:rFonts w:hint="eastAsia" w:ascii="宋体" w:hAnsi="宋体" w:eastAsia="宋体" w:cs="宋体"/>
          <w:bCs/>
          <w:color w:val="auto"/>
          <w:szCs w:val="21"/>
          <w:highlight w:val="none"/>
        </w:rPr>
        <w:t>保证金汇款凭证原件等资料递交</w:t>
      </w:r>
      <w:r>
        <w:rPr>
          <w:rFonts w:hint="eastAsia" w:ascii="宋体" w:hAnsi="宋体" w:eastAsia="宋体" w:cs="宋体"/>
          <w:bCs/>
          <w:color w:val="auto"/>
          <w:szCs w:val="21"/>
          <w:highlight w:val="none"/>
          <w:lang w:val="en-US" w:eastAsia="zh-CN"/>
        </w:rPr>
        <w:t>参选</w:t>
      </w:r>
      <w:r>
        <w:rPr>
          <w:rFonts w:hint="eastAsia" w:ascii="宋体" w:hAnsi="宋体" w:eastAsia="宋体" w:cs="宋体"/>
          <w:bCs/>
          <w:color w:val="auto"/>
          <w:szCs w:val="21"/>
          <w:highlight w:val="none"/>
        </w:rPr>
        <w:t>文件。不符合上述规定的参选文件，公司不予受理。</w:t>
      </w:r>
    </w:p>
    <w:p w14:paraId="5CAB67BC">
      <w:pPr>
        <w:pageBreakBefore w:val="0"/>
        <w:widowControl/>
        <w:shd w:val="clear" w:color="auto" w:fill="FFFFFF"/>
        <w:kinsoku/>
        <w:wordWrap/>
        <w:overflowPunct/>
        <w:topLinePunct w:val="0"/>
        <w:autoSpaceDE/>
        <w:autoSpaceDN/>
        <w:bidi w:val="0"/>
        <w:snapToGrid w:val="0"/>
        <w:spacing w:after="95" w:afterLines="30"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 逾期送达的</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文件，将予以拒收。</w:t>
      </w:r>
    </w:p>
    <w:p w14:paraId="58B5D432">
      <w:pPr>
        <w:pageBreakBefore w:val="0"/>
        <w:widowControl/>
        <w:tabs>
          <w:tab w:val="left" w:pos="900"/>
          <w:tab w:val="left" w:pos="1100"/>
        </w:tabs>
        <w:kinsoku/>
        <w:wordWrap/>
        <w:overflowPunct/>
        <w:topLinePunct w:val="0"/>
        <w:autoSpaceDE/>
        <w:autoSpaceDN/>
        <w:bidi w:val="0"/>
        <w:spacing w:after="95" w:afterLines="30" w:line="360" w:lineRule="auto"/>
        <w:ind w:firstLine="562" w:firstLineChars="200"/>
        <w:jc w:val="left"/>
        <w:textAlignment w:val="auto"/>
        <w:outlineLvl w:val="1"/>
        <w:rPr>
          <w:rFonts w:hint="eastAsia" w:ascii="宋体" w:hAnsi="宋体" w:eastAsia="宋体" w:cs="宋体"/>
          <w:b/>
          <w:bCs/>
          <w:color w:val="auto"/>
          <w:sz w:val="28"/>
          <w:szCs w:val="28"/>
          <w:highlight w:val="none"/>
        </w:rPr>
      </w:pPr>
      <w:bookmarkStart w:id="77" w:name="_Toc459238485"/>
      <w:bookmarkStart w:id="78" w:name="_Toc109888251"/>
      <w:bookmarkStart w:id="79" w:name="_Toc120110788"/>
      <w:bookmarkStart w:id="80" w:name="_Toc459841945"/>
      <w:bookmarkStart w:id="81" w:name="_Toc222033819"/>
      <w:bookmarkStart w:id="82" w:name="_Toc449513788"/>
      <w:bookmarkStart w:id="83" w:name="_Toc222032637"/>
      <w:bookmarkStart w:id="84" w:name="_Toc439237893"/>
      <w:bookmarkStart w:id="85" w:name="_Toc315850480"/>
      <w:bookmarkStart w:id="86" w:name="_Toc315850623"/>
      <w:bookmarkStart w:id="87" w:name="_Toc439237564"/>
      <w:bookmarkStart w:id="88" w:name="_Toc222030970"/>
      <w:bookmarkStart w:id="89" w:name="_Toc262659439"/>
      <w:bookmarkStart w:id="90" w:name="_Toc221949937"/>
      <w:bookmarkStart w:id="91" w:name="_Toc229305328"/>
      <w:bookmarkStart w:id="92" w:name="_Toc222029468"/>
      <w:r>
        <w:rPr>
          <w:rFonts w:hint="eastAsia" w:ascii="宋体" w:hAnsi="宋体" w:eastAsia="宋体" w:cs="宋体"/>
          <w:b/>
          <w:bCs/>
          <w:color w:val="auto"/>
          <w:sz w:val="28"/>
          <w:szCs w:val="28"/>
          <w:highlight w:val="none"/>
        </w:rPr>
        <w:t>八、 踏勘现场和</w:t>
      </w:r>
      <w:r>
        <w:rPr>
          <w:rFonts w:hint="eastAsia" w:ascii="宋体" w:hAnsi="宋体" w:eastAsia="宋体" w:cs="宋体"/>
          <w:b/>
          <w:bCs/>
          <w:color w:val="auto"/>
          <w:sz w:val="28"/>
          <w:szCs w:val="28"/>
          <w:highlight w:val="none"/>
          <w:lang w:eastAsia="zh-CN"/>
        </w:rPr>
        <w:t>参选</w:t>
      </w:r>
      <w:r>
        <w:rPr>
          <w:rFonts w:hint="eastAsia" w:ascii="宋体" w:hAnsi="宋体" w:eastAsia="宋体" w:cs="宋体"/>
          <w:b/>
          <w:bCs/>
          <w:color w:val="auto"/>
          <w:sz w:val="28"/>
          <w:szCs w:val="28"/>
          <w:highlight w:val="none"/>
        </w:rPr>
        <w:t>预备会</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35965299">
      <w:pPr>
        <w:pageBreakBefore w:val="0"/>
        <w:kinsoku/>
        <w:wordWrap/>
        <w:overflowPunct/>
        <w:topLinePunct w:val="0"/>
        <w:autoSpaceDE/>
        <w:autoSpaceDN/>
        <w:bidi w:val="0"/>
        <w:spacing w:after="95" w:afterLines="30" w:line="360" w:lineRule="auto"/>
        <w:ind w:firstLine="420" w:firstLineChars="200"/>
        <w:textAlignment w:val="auto"/>
        <w:rPr>
          <w:rFonts w:hint="eastAsia" w:ascii="宋体" w:hAnsi="宋体" w:eastAsia="宋体" w:cs="宋体"/>
          <w:color w:val="auto"/>
          <w:szCs w:val="21"/>
          <w:highlight w:val="none"/>
        </w:rPr>
      </w:pPr>
      <w:bookmarkStart w:id="93" w:name="_Toc221949938"/>
      <w:bookmarkStart w:id="94" w:name="_Toc222032638"/>
      <w:bookmarkStart w:id="95" w:name="_Toc459841946"/>
      <w:bookmarkStart w:id="96" w:name="_Toc222033820"/>
      <w:bookmarkStart w:id="97" w:name="_Toc439237565"/>
      <w:bookmarkStart w:id="98" w:name="_Toc315850481"/>
      <w:bookmarkStart w:id="99" w:name="_Toc459238486"/>
      <w:bookmarkStart w:id="100" w:name="_Toc439237894"/>
      <w:bookmarkStart w:id="101" w:name="_Toc168476034"/>
      <w:bookmarkStart w:id="102" w:name="_Toc229305329"/>
      <w:bookmarkStart w:id="103" w:name="_Toc221949939"/>
      <w:bookmarkStart w:id="104" w:name="_Toc262659440"/>
      <w:bookmarkStart w:id="105" w:name="_Toc222029469"/>
      <w:bookmarkStart w:id="106" w:name="_Toc168475631"/>
      <w:bookmarkStart w:id="107" w:name="_Toc449513789"/>
      <w:bookmarkStart w:id="108" w:name="_Toc222030971"/>
      <w:bookmarkStart w:id="109" w:name="_Toc315850624"/>
      <w:r>
        <w:rPr>
          <w:rFonts w:hint="eastAsia" w:ascii="宋体" w:hAnsi="宋体" w:eastAsia="宋体" w:cs="宋体"/>
          <w:color w:val="auto"/>
          <w:szCs w:val="21"/>
          <w:highlight w:val="none"/>
        </w:rPr>
        <w:t>8.1本次招</w:t>
      </w:r>
      <w:r>
        <w:rPr>
          <w:rFonts w:hint="eastAsia" w:ascii="宋体" w:hAnsi="宋体" w:eastAsia="宋体" w:cs="宋体"/>
          <w:color w:val="auto"/>
          <w:szCs w:val="21"/>
          <w:highlight w:val="none"/>
          <w:lang w:val="en-US" w:eastAsia="zh-CN"/>
        </w:rPr>
        <w:t>选</w:t>
      </w:r>
      <w:r>
        <w:rPr>
          <w:rFonts w:hint="eastAsia" w:ascii="宋体" w:hAnsi="宋体" w:eastAsia="宋体" w:cs="宋体"/>
          <w:color w:val="auto"/>
          <w:szCs w:val="21"/>
          <w:highlight w:val="none"/>
        </w:rPr>
        <w:t>公司不组织踏勘现场，</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人自行组织对施工现场进行踏勘，踏勘现场发生的费用自理。公司不召开</w:t>
      </w:r>
      <w:r>
        <w:rPr>
          <w:rFonts w:hint="eastAsia" w:ascii="宋体" w:hAnsi="宋体" w:eastAsia="宋体" w:cs="宋体"/>
          <w:color w:val="auto"/>
          <w:szCs w:val="21"/>
          <w:highlight w:val="none"/>
          <w:lang w:eastAsia="zh-CN"/>
        </w:rPr>
        <w:t>参选</w:t>
      </w:r>
      <w:r>
        <w:rPr>
          <w:rFonts w:hint="eastAsia" w:ascii="宋体" w:hAnsi="宋体" w:eastAsia="宋体" w:cs="宋体"/>
          <w:color w:val="auto"/>
          <w:szCs w:val="21"/>
          <w:highlight w:val="none"/>
        </w:rPr>
        <w:t>预备会</w:t>
      </w:r>
      <w:bookmarkEnd w:id="93"/>
      <w:r>
        <w:rPr>
          <w:rFonts w:hint="eastAsia" w:ascii="宋体" w:hAnsi="宋体" w:eastAsia="宋体" w:cs="宋体"/>
          <w:color w:val="auto"/>
          <w:szCs w:val="21"/>
          <w:highlight w:val="none"/>
        </w:rPr>
        <w:t>。</w:t>
      </w:r>
    </w:p>
    <w:p w14:paraId="5D4D7407">
      <w:pPr>
        <w:pStyle w:val="5"/>
        <w:pageBreakBefore w:val="0"/>
        <w:kinsoku/>
        <w:wordWrap/>
        <w:overflowPunct/>
        <w:topLinePunct w:val="0"/>
        <w:autoSpaceDE/>
        <w:autoSpaceDN/>
        <w:bidi w:val="0"/>
        <w:spacing w:after="95" w:afterLines="30" w:line="360" w:lineRule="auto"/>
        <w:ind w:firstLine="562" w:firstLineChars="200"/>
        <w:textAlignment w:val="auto"/>
        <w:rPr>
          <w:rFonts w:hint="eastAsia" w:ascii="宋体" w:hAnsi="宋体" w:eastAsia="宋体" w:cs="宋体"/>
          <w:b/>
          <w:bCs w:val="0"/>
          <w:color w:val="auto"/>
          <w:sz w:val="28"/>
          <w:szCs w:val="28"/>
          <w:highlight w:val="none"/>
        </w:rPr>
      </w:pPr>
      <w:bookmarkStart w:id="110" w:name="_Toc109888252"/>
      <w:bookmarkStart w:id="111" w:name="_Toc24299739"/>
      <w:bookmarkStart w:id="112" w:name="_Toc74668655"/>
      <w:bookmarkStart w:id="113" w:name="_Toc120110789"/>
      <w:r>
        <w:rPr>
          <w:rFonts w:hint="eastAsia" w:ascii="宋体" w:hAnsi="宋体" w:eastAsia="宋体" w:cs="宋体"/>
          <w:b/>
          <w:bCs w:val="0"/>
          <w:color w:val="auto"/>
          <w:sz w:val="28"/>
          <w:szCs w:val="28"/>
          <w:highlight w:val="none"/>
        </w:rPr>
        <w:t>九、 发布公告的媒介</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694855C1">
      <w:pPr>
        <w:pageBreakBefore w:val="0"/>
        <w:kinsoku/>
        <w:wordWrap/>
        <w:overflowPunct/>
        <w:topLinePunct w:val="0"/>
        <w:autoSpaceDE/>
        <w:autoSpaceDN/>
        <w:bidi w:val="0"/>
        <w:spacing w:after="95" w:afterLines="30" w:line="360" w:lineRule="auto"/>
        <w:ind w:firstLine="420" w:firstLineChars="200"/>
        <w:textAlignment w:val="auto"/>
        <w:rPr>
          <w:rFonts w:hint="eastAsia" w:ascii="宋体" w:hAnsi="宋体" w:eastAsia="宋体" w:cs="宋体"/>
          <w:color w:val="auto"/>
          <w:szCs w:val="21"/>
          <w:highlight w:val="none"/>
        </w:rPr>
      </w:pPr>
      <w:bookmarkStart w:id="114" w:name="_Toc221949940"/>
      <w:r>
        <w:rPr>
          <w:rFonts w:hint="eastAsia" w:ascii="宋体" w:hAnsi="宋体" w:eastAsia="宋体" w:cs="宋体"/>
          <w:color w:val="auto"/>
          <w:szCs w:val="21"/>
          <w:highlight w:val="none"/>
        </w:rPr>
        <w:t>9.1本次招</w:t>
      </w:r>
      <w:r>
        <w:rPr>
          <w:rFonts w:hint="eastAsia" w:ascii="宋体" w:hAnsi="宋体" w:eastAsia="宋体" w:cs="宋体"/>
          <w:color w:val="auto"/>
          <w:szCs w:val="21"/>
          <w:highlight w:val="none"/>
          <w:lang w:val="en-US" w:eastAsia="zh-CN"/>
        </w:rPr>
        <w:t>选</w:t>
      </w:r>
      <w:r>
        <w:rPr>
          <w:rFonts w:hint="eastAsia" w:ascii="宋体" w:hAnsi="宋体" w:eastAsia="宋体" w:cs="宋体"/>
          <w:color w:val="auto"/>
          <w:szCs w:val="21"/>
          <w:highlight w:val="none"/>
        </w:rPr>
        <w:t>公告同时在</w:t>
      </w:r>
      <w:r>
        <w:rPr>
          <w:rFonts w:hint="eastAsia" w:ascii="宋体" w:hAnsi="宋体" w:eastAsia="宋体" w:cs="宋体"/>
          <w:color w:val="auto"/>
          <w:szCs w:val="21"/>
          <w:highlight w:val="none"/>
          <w:u w:val="single"/>
        </w:rPr>
        <w:t>公司网页、内部网站</w:t>
      </w:r>
      <w:r>
        <w:rPr>
          <w:rFonts w:hint="eastAsia" w:ascii="宋体" w:hAnsi="宋体" w:eastAsia="宋体" w:cs="宋体"/>
          <w:color w:val="auto"/>
          <w:szCs w:val="21"/>
          <w:highlight w:val="none"/>
        </w:rPr>
        <w:t>发布。</w:t>
      </w:r>
      <w:bookmarkEnd w:id="114"/>
    </w:p>
    <w:p w14:paraId="0CE067DB">
      <w:pPr>
        <w:pStyle w:val="5"/>
        <w:pageBreakBefore w:val="0"/>
        <w:kinsoku/>
        <w:wordWrap/>
        <w:overflowPunct/>
        <w:topLinePunct w:val="0"/>
        <w:autoSpaceDE/>
        <w:autoSpaceDN/>
        <w:bidi w:val="0"/>
        <w:spacing w:after="95" w:afterLines="30" w:line="360" w:lineRule="auto"/>
        <w:ind w:firstLine="562" w:firstLineChars="200"/>
        <w:textAlignment w:val="auto"/>
        <w:rPr>
          <w:rFonts w:hint="eastAsia" w:ascii="宋体" w:hAnsi="宋体" w:eastAsia="宋体" w:cs="宋体"/>
          <w:b/>
          <w:bCs w:val="0"/>
          <w:color w:val="auto"/>
          <w:sz w:val="28"/>
          <w:szCs w:val="28"/>
          <w:highlight w:val="none"/>
        </w:rPr>
      </w:pPr>
      <w:bookmarkStart w:id="115" w:name="_Toc459238487"/>
      <w:bookmarkStart w:id="116" w:name="_Toc459841947"/>
      <w:bookmarkStart w:id="117" w:name="_Toc120110790"/>
      <w:bookmarkStart w:id="118" w:name="_Toc222029470"/>
      <w:bookmarkStart w:id="119" w:name="_Toc439237895"/>
      <w:bookmarkStart w:id="120" w:name="_Toc262659441"/>
      <w:bookmarkStart w:id="121" w:name="_Toc222033821"/>
      <w:bookmarkStart w:id="122" w:name="_Toc315850625"/>
      <w:bookmarkStart w:id="123" w:name="_Toc24299740"/>
      <w:bookmarkStart w:id="124" w:name="_Toc168476035"/>
      <w:bookmarkStart w:id="125" w:name="_Toc74668656"/>
      <w:bookmarkStart w:id="126" w:name="_Toc221949941"/>
      <w:bookmarkStart w:id="127" w:name="_Toc109888253"/>
      <w:bookmarkStart w:id="128" w:name="_Toc222032639"/>
      <w:bookmarkStart w:id="129" w:name="_Toc168475632"/>
      <w:bookmarkStart w:id="130" w:name="_Toc144974485"/>
      <w:bookmarkStart w:id="131" w:name="_Toc449513790"/>
      <w:bookmarkStart w:id="132" w:name="_Toc229305330"/>
      <w:bookmarkStart w:id="133" w:name="_Toc222030972"/>
      <w:bookmarkStart w:id="134" w:name="_Toc315850482"/>
      <w:bookmarkStart w:id="135" w:name="_Toc439237566"/>
      <w:r>
        <w:rPr>
          <w:rFonts w:hint="eastAsia" w:ascii="宋体" w:hAnsi="宋体" w:eastAsia="宋体" w:cs="宋体"/>
          <w:b/>
          <w:bCs w:val="0"/>
          <w:color w:val="auto"/>
          <w:sz w:val="28"/>
          <w:szCs w:val="28"/>
          <w:highlight w:val="none"/>
        </w:rPr>
        <w:t>十、联系方式</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61CB5046">
      <w:pPr>
        <w:pStyle w:val="9"/>
        <w:pageBreakBefore w:val="0"/>
        <w:kinsoku/>
        <w:wordWrap/>
        <w:overflowPunct/>
        <w:topLinePunct w:val="0"/>
        <w:autoSpaceDE/>
        <w:autoSpaceDN/>
        <w:bidi w:val="0"/>
        <w:snapToGrid w:val="0"/>
        <w:spacing w:after="95" w:afterLines="30" w:line="360" w:lineRule="auto"/>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招</w:t>
      </w:r>
      <w:r>
        <w:rPr>
          <w:rFonts w:hint="eastAsia" w:ascii="宋体" w:hAnsi="宋体" w:eastAsia="宋体" w:cs="宋体"/>
          <w:bCs/>
          <w:color w:val="auto"/>
          <w:szCs w:val="21"/>
          <w:highlight w:val="none"/>
          <w:lang w:val="en-US" w:eastAsia="zh-CN"/>
        </w:rPr>
        <w:t>选</w:t>
      </w:r>
      <w:r>
        <w:rPr>
          <w:rFonts w:hint="eastAsia" w:ascii="宋体" w:hAnsi="宋体" w:eastAsia="宋体" w:cs="宋体"/>
          <w:bCs/>
          <w:color w:val="auto"/>
          <w:szCs w:val="21"/>
          <w:highlight w:val="none"/>
        </w:rPr>
        <w:t>人：</w:t>
      </w:r>
      <w:r>
        <w:rPr>
          <w:rFonts w:hint="eastAsia" w:ascii="宋体" w:hAnsi="宋体" w:eastAsia="宋体" w:cs="宋体"/>
          <w:bCs/>
          <w:color w:val="auto"/>
          <w:szCs w:val="21"/>
          <w:highlight w:val="none"/>
          <w:u w:val="single"/>
        </w:rPr>
        <w:t xml:space="preserve"> 福建省水利水电工程局有限公司</w:t>
      </w:r>
    </w:p>
    <w:p w14:paraId="62D0C03A">
      <w:pPr>
        <w:pStyle w:val="9"/>
        <w:pageBreakBefore w:val="0"/>
        <w:kinsoku/>
        <w:wordWrap/>
        <w:overflowPunct/>
        <w:topLinePunct w:val="0"/>
        <w:autoSpaceDE/>
        <w:autoSpaceDN/>
        <w:bidi w:val="0"/>
        <w:snapToGrid w:val="0"/>
        <w:spacing w:after="95" w:afterLines="30" w:line="360" w:lineRule="auto"/>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地址：</w:t>
      </w:r>
      <w:r>
        <w:rPr>
          <w:rFonts w:hint="eastAsia" w:ascii="宋体" w:hAnsi="宋体" w:eastAsia="宋体" w:cs="宋体"/>
          <w:bCs/>
          <w:color w:val="auto"/>
          <w:kern w:val="0"/>
          <w:szCs w:val="21"/>
          <w:highlight w:val="none"/>
          <w:u w:val="single"/>
        </w:rPr>
        <w:t>泉州市丰泽区丰惠路87号</w:t>
      </w:r>
      <w:r>
        <w:rPr>
          <w:rFonts w:hint="eastAsia" w:ascii="宋体" w:hAnsi="宋体" w:eastAsia="宋体" w:cs="宋体"/>
          <w:bCs/>
          <w:color w:val="auto"/>
          <w:szCs w:val="21"/>
          <w:highlight w:val="none"/>
        </w:rPr>
        <w:t>， 邮编：</w:t>
      </w:r>
      <w:r>
        <w:rPr>
          <w:rFonts w:hint="eastAsia" w:ascii="宋体" w:hAnsi="宋体" w:eastAsia="宋体" w:cs="宋体"/>
          <w:bCs/>
          <w:color w:val="auto"/>
          <w:szCs w:val="21"/>
          <w:highlight w:val="none"/>
          <w:u w:val="single"/>
        </w:rPr>
        <w:t xml:space="preserve"> 362000  </w:t>
      </w:r>
      <w:r>
        <w:rPr>
          <w:rFonts w:hint="eastAsia" w:ascii="宋体" w:hAnsi="宋体" w:eastAsia="宋体" w:cs="宋体"/>
          <w:bCs/>
          <w:color w:val="auto"/>
          <w:szCs w:val="21"/>
          <w:highlight w:val="none"/>
        </w:rPr>
        <w:t xml:space="preserve">  </w:t>
      </w:r>
    </w:p>
    <w:p w14:paraId="7A534B02">
      <w:pPr>
        <w:pageBreakBefore w:val="0"/>
        <w:widowControl/>
        <w:tabs>
          <w:tab w:val="left" w:pos="900"/>
          <w:tab w:val="left" w:pos="1100"/>
        </w:tabs>
        <w:kinsoku/>
        <w:wordWrap/>
        <w:overflowPunct/>
        <w:topLinePunct w:val="0"/>
        <w:autoSpaceDE/>
        <w:autoSpaceDN/>
        <w:bidi w:val="0"/>
        <w:spacing w:after="95" w:afterLines="30"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联系人：</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u w:val="single"/>
        </w:rPr>
        <w:t xml:space="preserve">陈杏林 </w:t>
      </w:r>
      <w:r>
        <w:rPr>
          <w:rFonts w:hint="eastAsia" w:ascii="宋体" w:hAnsi="宋体" w:eastAsia="宋体" w:cs="宋体"/>
          <w:bCs/>
          <w:color w:val="auto"/>
          <w:szCs w:val="21"/>
          <w:highlight w:val="none"/>
        </w:rPr>
        <w:t>联系人电话：</w:t>
      </w:r>
      <w:r>
        <w:rPr>
          <w:rFonts w:hint="eastAsia" w:ascii="宋体" w:hAnsi="宋体" w:eastAsia="宋体" w:cs="宋体"/>
          <w:bCs/>
          <w:color w:val="auto"/>
          <w:szCs w:val="21"/>
          <w:highlight w:val="none"/>
          <w:u w:val="single"/>
        </w:rPr>
        <w:t xml:space="preserve">15980066363 </w:t>
      </w:r>
    </w:p>
    <w:p w14:paraId="382CB62F">
      <w:pPr>
        <w:pStyle w:val="62"/>
        <w:bidi w:val="0"/>
        <w:rPr>
          <w:rFonts w:hint="eastAsia"/>
          <w:color w:val="auto"/>
          <w:highlight w:val="none"/>
        </w:rPr>
      </w:pPr>
      <w:r>
        <w:rPr>
          <w:rFonts w:hint="eastAsia"/>
          <w:color w:val="auto"/>
          <w:highlight w:val="none"/>
        </w:rPr>
        <w:br w:type="textWrapping"/>
      </w:r>
    </w:p>
    <w:p w14:paraId="035FF43E">
      <w:pPr>
        <w:rPr>
          <w:rFonts w:hint="eastAsia"/>
          <w:color w:val="auto"/>
          <w:highlight w:val="none"/>
        </w:rPr>
      </w:pPr>
      <w:r>
        <w:rPr>
          <w:rFonts w:hint="eastAsia"/>
          <w:color w:val="auto"/>
          <w:highlight w:val="none"/>
        </w:rPr>
        <w:br w:type="page"/>
      </w:r>
    </w:p>
    <w:p w14:paraId="265E1AA5">
      <w:pPr>
        <w:pStyle w:val="62"/>
        <w:bidi w:val="0"/>
        <w:rPr>
          <w:color w:val="auto"/>
          <w:highlight w:val="none"/>
        </w:rPr>
      </w:pPr>
      <w:r>
        <w:rPr>
          <w:rFonts w:hint="eastAsia"/>
          <w:color w:val="auto"/>
          <w:highlight w:val="none"/>
        </w:rPr>
        <w:t>第二章</w:t>
      </w:r>
      <w:r>
        <w:rPr>
          <w:rFonts w:hint="eastAsia"/>
          <w:color w:val="auto"/>
          <w:highlight w:val="none"/>
          <w:lang w:val="en-US" w:eastAsia="zh-CN"/>
        </w:rPr>
        <w:t xml:space="preserve"> 参选</w:t>
      </w:r>
      <w:r>
        <w:rPr>
          <w:rFonts w:hint="eastAsia"/>
          <w:color w:val="auto"/>
          <w:highlight w:val="none"/>
        </w:rPr>
        <w:t>人须知</w:t>
      </w:r>
      <w:bookmarkEnd w:id="18"/>
      <w:bookmarkEnd w:id="19"/>
      <w:bookmarkEnd w:id="20"/>
      <w:bookmarkEnd w:id="21"/>
      <w:bookmarkEnd w:id="22"/>
      <w:bookmarkEnd w:id="23"/>
      <w:bookmarkEnd w:id="24"/>
      <w:bookmarkEnd w:id="25"/>
    </w:p>
    <w:p w14:paraId="4E3D50F8">
      <w:pPr>
        <w:pStyle w:val="5"/>
        <w:adjustRightInd w:val="0"/>
        <w:snapToGrid w:val="0"/>
        <w:spacing w:before="0" w:after="0" w:line="520" w:lineRule="exact"/>
        <w:jc w:val="center"/>
        <w:rPr>
          <w:rFonts w:asciiTheme="majorEastAsia" w:hAnsiTheme="majorEastAsia"/>
          <w:color w:val="auto"/>
          <w:sz w:val="28"/>
          <w:szCs w:val="28"/>
          <w:highlight w:val="none"/>
        </w:rPr>
      </w:pPr>
      <w:bookmarkStart w:id="136" w:name="_Toc7186371"/>
      <w:bookmarkStart w:id="137" w:name="_Toc511645066"/>
      <w:bookmarkStart w:id="138" w:name="_Toc51340213"/>
      <w:bookmarkStart w:id="139" w:name="_Toc46475116"/>
      <w:bookmarkStart w:id="140" w:name="_Toc120110792"/>
      <w:bookmarkStart w:id="141" w:name="_Toc50734446"/>
      <w:bookmarkStart w:id="142" w:name="_Toc515441268"/>
      <w:r>
        <w:rPr>
          <w:rFonts w:hint="eastAsia" w:asciiTheme="majorEastAsia" w:hAnsiTheme="majorEastAsia"/>
          <w:color w:val="auto"/>
          <w:sz w:val="28"/>
          <w:szCs w:val="28"/>
          <w:highlight w:val="none"/>
          <w:lang w:val="en-US" w:eastAsia="zh-CN"/>
        </w:rPr>
        <w:t>参选</w:t>
      </w:r>
      <w:r>
        <w:rPr>
          <w:rFonts w:hint="eastAsia" w:asciiTheme="majorEastAsia" w:hAnsiTheme="majorEastAsia"/>
          <w:color w:val="auto"/>
          <w:sz w:val="28"/>
          <w:szCs w:val="28"/>
          <w:highlight w:val="none"/>
        </w:rPr>
        <w:t>人须知前附表</w:t>
      </w:r>
      <w:bookmarkEnd w:id="136"/>
      <w:bookmarkEnd w:id="137"/>
      <w:bookmarkEnd w:id="138"/>
      <w:bookmarkEnd w:id="139"/>
      <w:bookmarkEnd w:id="140"/>
      <w:bookmarkEnd w:id="141"/>
      <w:bookmarkEnd w:id="142"/>
    </w:p>
    <w:tbl>
      <w:tblPr>
        <w:tblStyle w:val="31"/>
        <w:tblW w:w="8826" w:type="dxa"/>
        <w:tblInd w:w="213" w:type="dxa"/>
        <w:tblLayout w:type="fixed"/>
        <w:tblCellMar>
          <w:top w:w="0" w:type="dxa"/>
          <w:left w:w="108" w:type="dxa"/>
          <w:bottom w:w="0" w:type="dxa"/>
          <w:right w:w="108" w:type="dxa"/>
        </w:tblCellMar>
      </w:tblPr>
      <w:tblGrid>
        <w:gridCol w:w="746"/>
        <w:gridCol w:w="1774"/>
        <w:gridCol w:w="210"/>
        <w:gridCol w:w="6096"/>
      </w:tblGrid>
      <w:tr w14:paraId="126E62A2">
        <w:tblPrEx>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5E5C8409">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774" w:type="dxa"/>
            <w:tcBorders>
              <w:top w:val="single" w:color="auto" w:sz="4" w:space="0"/>
              <w:left w:val="single" w:color="auto" w:sz="4" w:space="0"/>
              <w:bottom w:val="single" w:color="auto" w:sz="4" w:space="0"/>
              <w:right w:val="single" w:color="auto" w:sz="4" w:space="0"/>
            </w:tcBorders>
            <w:vAlign w:val="center"/>
          </w:tcPr>
          <w:p w14:paraId="654B4353">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条 款 名 称</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07AD950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内           容</w:t>
            </w:r>
          </w:p>
        </w:tc>
      </w:tr>
      <w:tr w14:paraId="5AA3BC0B">
        <w:tblPrEx>
          <w:tblCellMar>
            <w:top w:w="0" w:type="dxa"/>
            <w:left w:w="108" w:type="dxa"/>
            <w:bottom w:w="0" w:type="dxa"/>
            <w:right w:w="108" w:type="dxa"/>
          </w:tblCellMar>
        </w:tblPrEx>
        <w:trPr>
          <w:trHeight w:val="376" w:hRule="atLeast"/>
        </w:trPr>
        <w:tc>
          <w:tcPr>
            <w:tcW w:w="746" w:type="dxa"/>
            <w:tcBorders>
              <w:top w:val="single" w:color="auto" w:sz="4" w:space="0"/>
              <w:left w:val="single" w:color="auto" w:sz="4" w:space="0"/>
              <w:bottom w:val="single" w:color="auto" w:sz="4" w:space="0"/>
              <w:right w:val="single" w:color="auto" w:sz="4" w:space="0"/>
            </w:tcBorders>
            <w:vAlign w:val="center"/>
          </w:tcPr>
          <w:p w14:paraId="4E457CF4">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774" w:type="dxa"/>
            <w:tcBorders>
              <w:top w:val="single" w:color="auto" w:sz="4" w:space="0"/>
              <w:left w:val="single" w:color="auto" w:sz="4" w:space="0"/>
              <w:bottom w:val="single" w:color="auto" w:sz="4" w:space="0"/>
              <w:right w:val="single" w:color="auto" w:sz="4" w:space="0"/>
            </w:tcBorders>
            <w:vAlign w:val="center"/>
          </w:tcPr>
          <w:p w14:paraId="5F4D4A8C">
            <w:pPr>
              <w:spacing w:line="420" w:lineRule="exact"/>
              <w:jc w:val="center"/>
              <w:rPr>
                <w:rFonts w:ascii="宋体" w:hAnsi="宋体" w:cs="宋体"/>
                <w:color w:val="auto"/>
                <w:szCs w:val="21"/>
                <w:highlight w:val="none"/>
              </w:rPr>
            </w:pPr>
            <w:r>
              <w:rPr>
                <w:rFonts w:hint="eastAsia" w:ascii="宋体" w:hAnsi="宋体" w:cs="宋体"/>
                <w:color w:val="auto"/>
                <w:szCs w:val="21"/>
                <w:highlight w:val="none"/>
                <w:lang w:eastAsia="zh-CN"/>
              </w:rPr>
              <w:t>招选</w:t>
            </w:r>
            <w:r>
              <w:rPr>
                <w:rFonts w:hint="eastAsia" w:ascii="宋体" w:hAnsi="宋体" w:cs="宋体"/>
                <w:color w:val="auto"/>
                <w:szCs w:val="21"/>
                <w:highlight w:val="none"/>
              </w:rPr>
              <w:t>人</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42BC7002">
            <w:pPr>
              <w:widowControl/>
              <w:spacing w:line="240" w:lineRule="auto"/>
              <w:rPr>
                <w:color w:val="auto"/>
                <w:szCs w:val="21"/>
                <w:highlight w:val="none"/>
              </w:rPr>
            </w:pPr>
            <w:r>
              <w:rPr>
                <w:rFonts w:hint="eastAsia"/>
                <w:color w:val="auto"/>
                <w:szCs w:val="21"/>
                <w:highlight w:val="none"/>
              </w:rPr>
              <w:t>名称：福建省水利水电工程局有限公司</w:t>
            </w:r>
          </w:p>
          <w:p w14:paraId="79285621">
            <w:pPr>
              <w:widowControl/>
              <w:spacing w:line="240" w:lineRule="auto"/>
              <w:rPr>
                <w:rFonts w:hint="eastAsia" w:eastAsiaTheme="minorEastAsia"/>
                <w:color w:val="auto"/>
                <w:szCs w:val="21"/>
                <w:highlight w:val="none"/>
                <w:lang w:val="en-US" w:eastAsia="zh-CN"/>
              </w:rPr>
            </w:pPr>
            <w:r>
              <w:rPr>
                <w:rFonts w:hint="eastAsia"/>
                <w:color w:val="auto"/>
                <w:szCs w:val="21"/>
                <w:highlight w:val="none"/>
              </w:rPr>
              <w:t>地址：泉州市丰泽区丰惠路87</w:t>
            </w:r>
            <w:r>
              <w:rPr>
                <w:rFonts w:hint="eastAsia"/>
                <w:color w:val="auto"/>
                <w:szCs w:val="21"/>
                <w:highlight w:val="none"/>
                <w:lang w:val="en-US" w:eastAsia="zh-CN"/>
              </w:rPr>
              <w:t>号</w:t>
            </w:r>
          </w:p>
        </w:tc>
      </w:tr>
      <w:tr w14:paraId="2DA585DE">
        <w:tblPrEx>
          <w:tblCellMar>
            <w:top w:w="0" w:type="dxa"/>
            <w:left w:w="108" w:type="dxa"/>
            <w:bottom w:w="0" w:type="dxa"/>
            <w:right w:w="108" w:type="dxa"/>
          </w:tblCellMar>
        </w:tblPrEx>
        <w:trPr>
          <w:trHeight w:val="376" w:hRule="atLeast"/>
        </w:trPr>
        <w:tc>
          <w:tcPr>
            <w:tcW w:w="746" w:type="dxa"/>
            <w:tcBorders>
              <w:top w:val="single" w:color="auto" w:sz="4" w:space="0"/>
              <w:left w:val="single" w:color="auto" w:sz="4" w:space="0"/>
              <w:bottom w:val="single" w:color="auto" w:sz="4" w:space="0"/>
              <w:right w:val="single" w:color="auto" w:sz="4" w:space="0"/>
            </w:tcBorders>
            <w:vAlign w:val="center"/>
          </w:tcPr>
          <w:p w14:paraId="70F9E1A5">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1774" w:type="dxa"/>
            <w:tcBorders>
              <w:top w:val="single" w:color="auto" w:sz="4" w:space="0"/>
              <w:left w:val="single" w:color="auto" w:sz="4" w:space="0"/>
              <w:bottom w:val="single" w:color="auto" w:sz="4" w:space="0"/>
              <w:right w:val="single" w:color="auto" w:sz="4" w:space="0"/>
            </w:tcBorders>
            <w:vAlign w:val="center"/>
          </w:tcPr>
          <w:p w14:paraId="6A5AEA86">
            <w:pPr>
              <w:spacing w:line="420" w:lineRule="exact"/>
              <w:jc w:val="center"/>
              <w:rPr>
                <w:rFonts w:ascii="宋体" w:hAnsi="宋体" w:cs="宋体"/>
                <w:color w:val="auto"/>
                <w:szCs w:val="21"/>
                <w:highlight w:val="none"/>
              </w:rPr>
            </w:pPr>
            <w:r>
              <w:rPr>
                <w:rFonts w:hint="eastAsia" w:ascii="宋体" w:hAnsi="宋体" w:cs="宋体"/>
                <w:color w:val="auto"/>
                <w:szCs w:val="21"/>
                <w:highlight w:val="none"/>
                <w:lang w:eastAsia="zh-CN"/>
              </w:rPr>
              <w:t>招选</w:t>
            </w:r>
            <w:r>
              <w:rPr>
                <w:rFonts w:hint="eastAsia" w:ascii="宋体" w:hAnsi="宋体" w:cs="宋体"/>
                <w:color w:val="auto"/>
                <w:szCs w:val="21"/>
                <w:highlight w:val="none"/>
              </w:rPr>
              <w:t>项目名称</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470A41D3">
            <w:pPr>
              <w:spacing w:line="240" w:lineRule="auto"/>
              <w:rPr>
                <w:rFonts w:ascii="宋体" w:hAnsi="宋体"/>
                <w:b/>
                <w:bCs/>
                <w:color w:val="auto"/>
                <w:szCs w:val="21"/>
                <w:highlight w:val="none"/>
              </w:rPr>
            </w:pPr>
            <w:r>
              <w:rPr>
                <w:rFonts w:hint="eastAsia"/>
                <w:color w:val="auto"/>
                <w:szCs w:val="21"/>
                <w:highlight w:val="none"/>
                <w:u w:val="single"/>
              </w:rPr>
              <w:t>漳州市东南部沿海地区九龙江调水工程阀门类采购项目</w:t>
            </w:r>
            <w:r>
              <w:rPr>
                <w:rFonts w:hint="eastAsia"/>
                <w:color w:val="auto"/>
                <w:szCs w:val="21"/>
                <w:highlight w:val="none"/>
                <w:u w:val="single"/>
                <w:lang w:eastAsia="zh-CN"/>
              </w:rPr>
              <w:t>（</w:t>
            </w:r>
            <w:r>
              <w:rPr>
                <w:rFonts w:hint="eastAsia"/>
                <w:color w:val="auto"/>
                <w:szCs w:val="21"/>
                <w:highlight w:val="none"/>
                <w:u w:val="single"/>
                <w:lang w:val="en-US" w:eastAsia="zh-CN"/>
              </w:rPr>
              <w:t>重新招选</w:t>
            </w:r>
            <w:r>
              <w:rPr>
                <w:rFonts w:hint="eastAsia"/>
                <w:color w:val="auto"/>
                <w:szCs w:val="21"/>
                <w:highlight w:val="none"/>
                <w:u w:val="single"/>
                <w:lang w:eastAsia="zh-CN"/>
              </w:rPr>
              <w:t>）</w:t>
            </w:r>
            <w:r>
              <w:rPr>
                <w:rFonts w:hint="eastAsia"/>
                <w:color w:val="auto"/>
                <w:szCs w:val="21"/>
                <w:highlight w:val="none"/>
              </w:rPr>
              <w:t>；</w:t>
            </w:r>
          </w:p>
        </w:tc>
      </w:tr>
      <w:tr w14:paraId="325E8798">
        <w:tblPrEx>
          <w:tblCellMar>
            <w:top w:w="0" w:type="dxa"/>
            <w:left w:w="108" w:type="dxa"/>
            <w:bottom w:w="0" w:type="dxa"/>
            <w:right w:w="108" w:type="dxa"/>
          </w:tblCellMar>
        </w:tblPrEx>
        <w:trPr>
          <w:trHeight w:val="516" w:hRule="atLeast"/>
        </w:trPr>
        <w:tc>
          <w:tcPr>
            <w:tcW w:w="746" w:type="dxa"/>
            <w:tcBorders>
              <w:top w:val="single" w:color="auto" w:sz="4" w:space="0"/>
              <w:left w:val="single" w:color="auto" w:sz="4" w:space="0"/>
              <w:bottom w:val="single" w:color="auto" w:sz="4" w:space="0"/>
              <w:right w:val="single" w:color="auto" w:sz="4" w:space="0"/>
            </w:tcBorders>
            <w:vAlign w:val="center"/>
          </w:tcPr>
          <w:p w14:paraId="47106A44">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1774" w:type="dxa"/>
            <w:tcBorders>
              <w:top w:val="single" w:color="auto" w:sz="4" w:space="0"/>
              <w:left w:val="single" w:color="auto" w:sz="4" w:space="0"/>
              <w:bottom w:val="single" w:color="auto" w:sz="4" w:space="0"/>
              <w:right w:val="single" w:color="auto" w:sz="4" w:space="0"/>
            </w:tcBorders>
            <w:vAlign w:val="center"/>
          </w:tcPr>
          <w:p w14:paraId="594713D9">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供货地点</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58B4693E">
            <w:pPr>
              <w:widowControl/>
              <w:shd w:val="clear" w:color="auto" w:fill="FFFFFF"/>
              <w:snapToGrid w:val="0"/>
              <w:jc w:val="left"/>
              <w:rPr>
                <w:rFonts w:ascii="宋体" w:hAnsi="宋体" w:cs="宋体"/>
                <w:color w:val="auto"/>
                <w:szCs w:val="21"/>
                <w:highlight w:val="none"/>
              </w:rPr>
            </w:pPr>
            <w:r>
              <w:rPr>
                <w:rFonts w:hint="eastAsia" w:ascii="宋体" w:hAnsi="宋体" w:cs="宋体"/>
                <w:color w:val="auto"/>
                <w:szCs w:val="21"/>
                <w:highlight w:val="none"/>
              </w:rPr>
              <w:t>福建省漳州地区；</w:t>
            </w:r>
          </w:p>
        </w:tc>
      </w:tr>
      <w:tr w14:paraId="5291DDF2">
        <w:tblPrEx>
          <w:tblCellMar>
            <w:top w:w="0" w:type="dxa"/>
            <w:left w:w="108" w:type="dxa"/>
            <w:bottom w:w="0" w:type="dxa"/>
            <w:right w:w="108" w:type="dxa"/>
          </w:tblCellMar>
        </w:tblPrEx>
        <w:trPr>
          <w:trHeight w:val="384" w:hRule="atLeast"/>
        </w:trPr>
        <w:tc>
          <w:tcPr>
            <w:tcW w:w="746" w:type="dxa"/>
            <w:tcBorders>
              <w:top w:val="single" w:color="auto" w:sz="4" w:space="0"/>
              <w:left w:val="single" w:color="auto" w:sz="4" w:space="0"/>
              <w:bottom w:val="single" w:color="auto" w:sz="4" w:space="0"/>
              <w:right w:val="single" w:color="auto" w:sz="4" w:space="0"/>
            </w:tcBorders>
            <w:vAlign w:val="center"/>
          </w:tcPr>
          <w:p w14:paraId="462C4287">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1774" w:type="dxa"/>
            <w:tcBorders>
              <w:top w:val="single" w:color="auto" w:sz="4" w:space="0"/>
              <w:left w:val="single" w:color="auto" w:sz="4" w:space="0"/>
              <w:bottom w:val="single" w:color="auto" w:sz="4" w:space="0"/>
              <w:right w:val="single" w:color="auto" w:sz="4" w:space="0"/>
            </w:tcBorders>
            <w:vAlign w:val="center"/>
          </w:tcPr>
          <w:p w14:paraId="6DC4D85B">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现场管理机构</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22A9FF1F">
            <w:pPr>
              <w:spacing w:line="240" w:lineRule="auto"/>
              <w:rPr>
                <w:rFonts w:ascii="宋体" w:hAnsi="宋体" w:cs="宋体"/>
                <w:color w:val="auto"/>
                <w:szCs w:val="21"/>
                <w:highlight w:val="none"/>
              </w:rPr>
            </w:pPr>
            <w:r>
              <w:rPr>
                <w:rFonts w:hint="eastAsia" w:ascii="宋体" w:hAnsi="宋体" w:cs="宋体"/>
                <w:bCs/>
                <w:color w:val="auto"/>
                <w:szCs w:val="21"/>
                <w:highlight w:val="none"/>
              </w:rPr>
              <w:t>福建省水利水电工程局有限公司漳州东南部九龙江调水工程项目部</w:t>
            </w:r>
          </w:p>
        </w:tc>
      </w:tr>
      <w:tr w14:paraId="09437DC6">
        <w:tblPrEx>
          <w:tblCellMar>
            <w:top w:w="0" w:type="dxa"/>
            <w:left w:w="108" w:type="dxa"/>
            <w:bottom w:w="0" w:type="dxa"/>
            <w:right w:w="108" w:type="dxa"/>
          </w:tblCellMar>
        </w:tblPrEx>
        <w:trPr>
          <w:trHeight w:val="818" w:hRule="atLeast"/>
        </w:trPr>
        <w:tc>
          <w:tcPr>
            <w:tcW w:w="746" w:type="dxa"/>
            <w:tcBorders>
              <w:top w:val="single" w:color="auto" w:sz="4" w:space="0"/>
              <w:left w:val="single" w:color="auto" w:sz="4" w:space="0"/>
              <w:bottom w:val="single" w:color="auto" w:sz="4" w:space="0"/>
              <w:right w:val="single" w:color="auto" w:sz="4" w:space="0"/>
            </w:tcBorders>
            <w:vAlign w:val="center"/>
          </w:tcPr>
          <w:p w14:paraId="7FB7DE3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5</w:t>
            </w:r>
          </w:p>
        </w:tc>
        <w:tc>
          <w:tcPr>
            <w:tcW w:w="1774" w:type="dxa"/>
            <w:tcBorders>
              <w:top w:val="single" w:color="auto" w:sz="4" w:space="0"/>
              <w:left w:val="single" w:color="auto" w:sz="4" w:space="0"/>
              <w:bottom w:val="single" w:color="auto" w:sz="4" w:space="0"/>
              <w:right w:val="single" w:color="auto" w:sz="4" w:space="0"/>
            </w:tcBorders>
            <w:vAlign w:val="center"/>
          </w:tcPr>
          <w:p w14:paraId="4B210EDF">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招</w:t>
            </w:r>
            <w:r>
              <w:rPr>
                <w:rFonts w:hint="eastAsia" w:ascii="宋体" w:hAnsi="宋体" w:cs="宋体"/>
                <w:color w:val="auto"/>
                <w:szCs w:val="21"/>
                <w:highlight w:val="none"/>
                <w:lang w:val="en-US" w:eastAsia="zh-CN"/>
              </w:rPr>
              <w:t>选</w:t>
            </w:r>
            <w:r>
              <w:rPr>
                <w:rFonts w:hint="eastAsia" w:ascii="宋体" w:hAnsi="宋体" w:cs="宋体"/>
                <w:color w:val="auto"/>
                <w:szCs w:val="21"/>
                <w:highlight w:val="none"/>
              </w:rPr>
              <w:t>范围和内容</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3BDA3E20">
            <w:pPr>
              <w:shd w:val="clear" w:color="auto" w:fill="FFFFFF"/>
              <w:snapToGrid w:val="0"/>
              <w:spacing w:line="240" w:lineRule="auto"/>
              <w:jc w:val="left"/>
              <w:rPr>
                <w:rFonts w:ascii="宋体" w:hAnsi="宋体"/>
                <w:b/>
                <w:bCs/>
                <w:color w:val="auto"/>
                <w:szCs w:val="21"/>
                <w:highlight w:val="none"/>
              </w:rPr>
            </w:pPr>
            <w:r>
              <w:rPr>
                <w:rFonts w:hint="eastAsia"/>
                <w:color w:val="auto"/>
                <w:szCs w:val="21"/>
                <w:highlight w:val="none"/>
              </w:rPr>
              <w:t>漳州市东南部沿海地区九龙江调水工程</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一期</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1、2标和（二期）1、3标</w:t>
            </w:r>
            <w:r>
              <w:rPr>
                <w:rFonts w:hint="eastAsia"/>
                <w:color w:val="auto"/>
                <w:szCs w:val="21"/>
                <w:highlight w:val="none"/>
              </w:rPr>
              <w:t>项目实施过程中所需的阀门类材料，包括但不限于本项目</w:t>
            </w:r>
            <w:r>
              <w:rPr>
                <w:rFonts w:hint="eastAsia"/>
                <w:color w:val="auto"/>
                <w:szCs w:val="21"/>
                <w:highlight w:val="none"/>
                <w:lang w:eastAsia="zh-CN"/>
              </w:rPr>
              <w:t>招选</w:t>
            </w:r>
            <w:r>
              <w:rPr>
                <w:rFonts w:hint="eastAsia"/>
                <w:color w:val="auto"/>
                <w:szCs w:val="21"/>
                <w:highlight w:val="none"/>
              </w:rPr>
              <w:t>清单中的阀门类型；</w:t>
            </w:r>
          </w:p>
        </w:tc>
      </w:tr>
      <w:tr w14:paraId="1F3BE009">
        <w:tblPrEx>
          <w:tblCellMar>
            <w:top w:w="0" w:type="dxa"/>
            <w:left w:w="108" w:type="dxa"/>
            <w:bottom w:w="0" w:type="dxa"/>
            <w:right w:w="108" w:type="dxa"/>
          </w:tblCellMar>
        </w:tblPrEx>
        <w:trPr>
          <w:trHeight w:val="466" w:hRule="atLeast"/>
        </w:trPr>
        <w:tc>
          <w:tcPr>
            <w:tcW w:w="746" w:type="dxa"/>
            <w:tcBorders>
              <w:top w:val="single" w:color="auto" w:sz="4" w:space="0"/>
              <w:left w:val="single" w:color="auto" w:sz="4" w:space="0"/>
              <w:bottom w:val="single" w:color="auto" w:sz="4" w:space="0"/>
              <w:right w:val="single" w:color="auto" w:sz="4" w:space="0"/>
            </w:tcBorders>
            <w:vAlign w:val="center"/>
          </w:tcPr>
          <w:p w14:paraId="6D90CFDB">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6</w:t>
            </w:r>
          </w:p>
        </w:tc>
        <w:tc>
          <w:tcPr>
            <w:tcW w:w="1774" w:type="dxa"/>
            <w:tcBorders>
              <w:top w:val="single" w:color="auto" w:sz="4" w:space="0"/>
              <w:left w:val="single" w:color="auto" w:sz="4" w:space="0"/>
              <w:bottom w:val="single" w:color="auto" w:sz="4" w:space="0"/>
              <w:right w:val="single" w:color="auto" w:sz="4" w:space="0"/>
            </w:tcBorders>
            <w:vAlign w:val="center"/>
          </w:tcPr>
          <w:p w14:paraId="5DE237FE">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供货项目</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0CD1F0DC">
            <w:pPr>
              <w:widowControl/>
              <w:spacing w:line="240" w:lineRule="auto"/>
              <w:jc w:val="left"/>
              <w:rPr>
                <w:rFonts w:hint="eastAsia" w:ascii="宋体" w:hAnsi="宋体" w:cs="宋体" w:eastAsiaTheme="minorEastAsia"/>
                <w:color w:val="auto"/>
                <w:szCs w:val="21"/>
                <w:highlight w:val="none"/>
                <w:lang w:eastAsia="zh-CN"/>
              </w:rPr>
            </w:pPr>
            <w:r>
              <w:rPr>
                <w:rFonts w:hint="eastAsia"/>
                <w:color w:val="auto"/>
                <w:szCs w:val="21"/>
                <w:highlight w:val="none"/>
                <w:u w:val="single"/>
              </w:rPr>
              <w:t>公司承建的漳州市东南部沿海地区九龙江调水工程</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一期</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1、2标和（二期）1、3标</w:t>
            </w:r>
            <w:r>
              <w:rPr>
                <w:rFonts w:hint="eastAsia"/>
                <w:color w:val="auto"/>
                <w:szCs w:val="21"/>
                <w:highlight w:val="none"/>
                <w:u w:val="single"/>
                <w:lang w:eastAsia="zh-CN"/>
              </w:rPr>
              <w:t>；</w:t>
            </w:r>
          </w:p>
        </w:tc>
      </w:tr>
      <w:tr w14:paraId="7A777605">
        <w:tblPrEx>
          <w:tblCellMar>
            <w:top w:w="0" w:type="dxa"/>
            <w:left w:w="108" w:type="dxa"/>
            <w:bottom w:w="0" w:type="dxa"/>
            <w:right w:w="108" w:type="dxa"/>
          </w:tblCellMar>
        </w:tblPrEx>
        <w:trPr>
          <w:trHeight w:val="466" w:hRule="atLeast"/>
        </w:trPr>
        <w:tc>
          <w:tcPr>
            <w:tcW w:w="746" w:type="dxa"/>
            <w:tcBorders>
              <w:top w:val="single" w:color="auto" w:sz="4" w:space="0"/>
              <w:left w:val="single" w:color="auto" w:sz="4" w:space="0"/>
              <w:bottom w:val="single" w:color="auto" w:sz="4" w:space="0"/>
              <w:right w:val="single" w:color="auto" w:sz="4" w:space="0"/>
            </w:tcBorders>
            <w:vAlign w:val="center"/>
          </w:tcPr>
          <w:p w14:paraId="44AFF910">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7</w:t>
            </w:r>
          </w:p>
        </w:tc>
        <w:tc>
          <w:tcPr>
            <w:tcW w:w="1774" w:type="dxa"/>
            <w:tcBorders>
              <w:top w:val="single" w:color="auto" w:sz="4" w:space="0"/>
              <w:left w:val="single" w:color="auto" w:sz="4" w:space="0"/>
              <w:bottom w:val="single" w:color="auto" w:sz="4" w:space="0"/>
              <w:right w:val="single" w:color="auto" w:sz="4" w:space="0"/>
            </w:tcBorders>
            <w:vAlign w:val="center"/>
          </w:tcPr>
          <w:p w14:paraId="749A2FFB">
            <w:pPr>
              <w:spacing w:line="42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评选</w:t>
            </w:r>
            <w:r>
              <w:rPr>
                <w:rFonts w:hint="eastAsia" w:ascii="宋体" w:hAnsi="宋体" w:cs="宋体"/>
                <w:color w:val="auto"/>
                <w:szCs w:val="21"/>
                <w:highlight w:val="none"/>
              </w:rPr>
              <w:t>方法</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77906F13">
            <w:pPr>
              <w:tabs>
                <w:tab w:val="left" w:pos="360"/>
              </w:tabs>
              <w:spacing w:line="240" w:lineRule="auto"/>
              <w:rPr>
                <w:rFonts w:ascii="宋体" w:hAnsi="宋体" w:cs="宋体"/>
                <w:b/>
                <w:bCs/>
                <w:color w:val="auto"/>
                <w:szCs w:val="21"/>
                <w:highlight w:val="none"/>
              </w:rPr>
            </w:pPr>
            <w:r>
              <w:rPr>
                <w:rFonts w:hint="eastAsia" w:ascii="宋体" w:hAnsi="宋体" w:cs="宋体"/>
                <w:b/>
                <w:bCs/>
                <w:color w:val="auto"/>
                <w:szCs w:val="21"/>
                <w:highlight w:val="none"/>
              </w:rPr>
              <w:t>本项目采用的评审办法</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最低价中选法。中</w:t>
            </w:r>
            <w:r>
              <w:rPr>
                <w:rFonts w:hint="eastAsia" w:ascii="宋体" w:hAnsi="宋体" w:cs="宋体"/>
                <w:b/>
                <w:bCs/>
                <w:color w:val="auto"/>
                <w:szCs w:val="21"/>
                <w:highlight w:val="none"/>
                <w:lang w:val="en-US" w:eastAsia="zh-CN"/>
              </w:rPr>
              <w:t>选</w:t>
            </w:r>
            <w:r>
              <w:rPr>
                <w:rFonts w:hint="eastAsia" w:ascii="宋体" w:hAnsi="宋体" w:cs="宋体"/>
                <w:b/>
                <w:bCs/>
                <w:color w:val="auto"/>
                <w:szCs w:val="21"/>
                <w:highlight w:val="none"/>
              </w:rPr>
              <w:t>方式详见评</w:t>
            </w:r>
            <w:r>
              <w:rPr>
                <w:rFonts w:hint="eastAsia" w:ascii="宋体" w:hAnsi="宋体" w:cs="宋体"/>
                <w:b/>
                <w:bCs/>
                <w:color w:val="auto"/>
                <w:szCs w:val="21"/>
                <w:highlight w:val="none"/>
                <w:lang w:val="en-US" w:eastAsia="zh-CN"/>
              </w:rPr>
              <w:t>选</w:t>
            </w:r>
            <w:r>
              <w:rPr>
                <w:rFonts w:hint="eastAsia" w:ascii="宋体" w:hAnsi="宋体" w:cs="宋体"/>
                <w:b/>
                <w:bCs/>
                <w:color w:val="auto"/>
                <w:szCs w:val="21"/>
                <w:highlight w:val="none"/>
              </w:rPr>
              <w:t>办法。</w:t>
            </w:r>
          </w:p>
        </w:tc>
      </w:tr>
      <w:tr w14:paraId="1A7B83B5">
        <w:tblPrEx>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4790777B">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8</w:t>
            </w:r>
          </w:p>
        </w:tc>
        <w:tc>
          <w:tcPr>
            <w:tcW w:w="1774" w:type="dxa"/>
            <w:tcBorders>
              <w:top w:val="single" w:color="auto" w:sz="4" w:space="0"/>
              <w:left w:val="single" w:color="auto" w:sz="4" w:space="0"/>
              <w:bottom w:val="single" w:color="auto" w:sz="4" w:space="0"/>
              <w:right w:val="single" w:color="auto" w:sz="4" w:space="0"/>
            </w:tcBorders>
            <w:vAlign w:val="center"/>
          </w:tcPr>
          <w:p w14:paraId="1F6064C5">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质量要求</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69A4033A">
            <w:pPr>
              <w:shd w:val="clear" w:color="auto" w:fill="FFFFFF"/>
              <w:snapToGrid w:val="0"/>
              <w:spacing w:line="240" w:lineRule="auto"/>
              <w:jc w:val="left"/>
              <w:rPr>
                <w:color w:val="auto"/>
                <w:highlight w:val="none"/>
              </w:rPr>
            </w:pPr>
            <w:r>
              <w:rPr>
                <w:rFonts w:hint="eastAsia"/>
                <w:color w:val="auto"/>
                <w:szCs w:val="21"/>
                <w:highlight w:val="none"/>
                <w:u w:val="single"/>
                <w:lang w:val="en-US" w:eastAsia="zh-CN"/>
              </w:rPr>
              <w:t>所有采购产品的技术</w:t>
            </w:r>
            <w:r>
              <w:rPr>
                <w:rFonts w:hint="eastAsia"/>
                <w:color w:val="auto"/>
                <w:szCs w:val="21"/>
                <w:highlight w:val="none"/>
                <w:u w:val="single"/>
              </w:rPr>
              <w:t>参数</w:t>
            </w:r>
            <w:r>
              <w:rPr>
                <w:rFonts w:hint="eastAsia"/>
                <w:color w:val="auto"/>
                <w:szCs w:val="21"/>
                <w:highlight w:val="none"/>
                <w:u w:val="single"/>
                <w:lang w:eastAsia="zh-CN"/>
              </w:rPr>
              <w:t>、</w:t>
            </w:r>
            <w:r>
              <w:rPr>
                <w:rFonts w:hint="eastAsia"/>
                <w:color w:val="auto"/>
                <w:szCs w:val="21"/>
                <w:highlight w:val="none"/>
                <w:u w:val="single"/>
              </w:rPr>
              <w:t>性能</w:t>
            </w:r>
            <w:r>
              <w:rPr>
                <w:rFonts w:hint="eastAsia"/>
                <w:color w:val="auto"/>
                <w:szCs w:val="21"/>
                <w:highlight w:val="none"/>
                <w:u w:val="single"/>
                <w:lang w:eastAsia="zh-CN"/>
              </w:rPr>
              <w:t>、</w:t>
            </w:r>
            <w:r>
              <w:rPr>
                <w:rFonts w:hint="eastAsia"/>
                <w:color w:val="auto"/>
                <w:szCs w:val="21"/>
                <w:highlight w:val="none"/>
                <w:u w:val="single"/>
                <w:lang w:val="en-US" w:eastAsia="zh-CN"/>
              </w:rPr>
              <w:t>材料及工艺要求等均</w:t>
            </w:r>
            <w:r>
              <w:rPr>
                <w:rFonts w:hint="eastAsia"/>
                <w:color w:val="auto"/>
                <w:szCs w:val="21"/>
                <w:highlight w:val="none"/>
                <w:u w:val="single"/>
              </w:rPr>
              <w:t>符合</w:t>
            </w:r>
            <w:r>
              <w:rPr>
                <w:rFonts w:hint="eastAsia"/>
                <w:color w:val="auto"/>
                <w:szCs w:val="21"/>
                <w:highlight w:val="none"/>
                <w:u w:val="single"/>
                <w:lang w:val="en-US" w:eastAsia="zh-CN"/>
              </w:rPr>
              <w:t>主合同设计、图纸及技术条款要求</w:t>
            </w:r>
            <w:r>
              <w:rPr>
                <w:rFonts w:hint="eastAsia"/>
                <w:color w:val="auto"/>
                <w:szCs w:val="21"/>
                <w:highlight w:val="none"/>
              </w:rPr>
              <w:t>；</w:t>
            </w:r>
          </w:p>
        </w:tc>
      </w:tr>
      <w:tr w14:paraId="6E874596">
        <w:tblPrEx>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04DB7781">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9</w:t>
            </w:r>
          </w:p>
        </w:tc>
        <w:tc>
          <w:tcPr>
            <w:tcW w:w="1774" w:type="dxa"/>
            <w:tcBorders>
              <w:top w:val="single" w:color="auto" w:sz="4" w:space="0"/>
              <w:left w:val="single" w:color="auto" w:sz="4" w:space="0"/>
              <w:bottom w:val="single" w:color="auto" w:sz="4" w:space="0"/>
              <w:right w:val="single" w:color="auto" w:sz="4" w:space="0"/>
            </w:tcBorders>
            <w:vAlign w:val="center"/>
          </w:tcPr>
          <w:p w14:paraId="15BEF0C4">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承包方式</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7CC8B2AE">
            <w:pPr>
              <w:spacing w:line="240" w:lineRule="auto"/>
              <w:jc w:val="left"/>
              <w:rPr>
                <w:rFonts w:ascii="宋体" w:hAnsi="宋体" w:cs="宋体"/>
                <w:b/>
                <w:bCs/>
                <w:color w:val="auto"/>
                <w:szCs w:val="21"/>
                <w:highlight w:val="none"/>
              </w:rPr>
            </w:pPr>
            <w:r>
              <w:rPr>
                <w:rFonts w:hint="eastAsia" w:ascii="宋体" w:hAnsi="宋体" w:cs="宋体"/>
                <w:b/>
                <w:bCs/>
                <w:color w:val="auto"/>
                <w:szCs w:val="21"/>
                <w:highlight w:val="none"/>
              </w:rPr>
              <w:t>本合同实行固定单价合同方式，数量以实际供应量进行结算。</w:t>
            </w:r>
          </w:p>
        </w:tc>
      </w:tr>
      <w:tr w14:paraId="498B889D">
        <w:tblPrEx>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48834A81">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10</w:t>
            </w:r>
          </w:p>
        </w:tc>
        <w:tc>
          <w:tcPr>
            <w:tcW w:w="1774" w:type="dxa"/>
            <w:tcBorders>
              <w:top w:val="single" w:color="auto" w:sz="4" w:space="0"/>
              <w:left w:val="single" w:color="auto" w:sz="4" w:space="0"/>
              <w:bottom w:val="single" w:color="auto" w:sz="4" w:space="0"/>
              <w:right w:val="single" w:color="auto" w:sz="4" w:space="0"/>
            </w:tcBorders>
            <w:vAlign w:val="center"/>
          </w:tcPr>
          <w:p w14:paraId="730DDABE">
            <w:pPr>
              <w:spacing w:line="420" w:lineRule="exact"/>
              <w:jc w:val="center"/>
              <w:rPr>
                <w:rFonts w:ascii="宋体" w:hAnsi="宋体" w:cs="宋体"/>
                <w:color w:val="auto"/>
                <w:szCs w:val="21"/>
                <w:highlight w:val="none"/>
              </w:rPr>
            </w:pPr>
            <w:r>
              <w:rPr>
                <w:rFonts w:hint="eastAsia" w:ascii="宋体" w:hAnsi="宋体" w:cs="宋体"/>
                <w:color w:val="auto"/>
                <w:szCs w:val="21"/>
                <w:highlight w:val="none"/>
                <w:lang w:eastAsia="zh-CN"/>
              </w:rPr>
              <w:t>参选</w:t>
            </w:r>
            <w:r>
              <w:rPr>
                <w:rFonts w:hint="eastAsia" w:ascii="宋体" w:hAnsi="宋体" w:cs="宋体"/>
                <w:color w:val="auto"/>
                <w:szCs w:val="21"/>
                <w:highlight w:val="none"/>
              </w:rPr>
              <w:t>人资格条件、能力和信誉</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2721251B">
            <w:pPr>
              <w:widowControl/>
              <w:shd w:val="clear" w:color="auto" w:fill="FFFFFF"/>
              <w:snapToGrid w:val="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u w:val="none"/>
                <w:lang w:val="en-US" w:eastAsia="zh-CN"/>
              </w:rPr>
              <w:t>（1）</w:t>
            </w:r>
            <w:r>
              <w:rPr>
                <w:rFonts w:hint="eastAsia" w:ascii="宋体" w:hAnsi="宋体" w:eastAsia="宋体" w:cs="宋体"/>
                <w:color w:val="auto"/>
                <w:sz w:val="21"/>
                <w:szCs w:val="21"/>
                <w:highlight w:val="none"/>
                <w:u w:val="single"/>
                <w:lang w:val="en-US" w:eastAsia="zh-CN"/>
              </w:rPr>
              <w:t>参选人</w:t>
            </w:r>
            <w:r>
              <w:rPr>
                <w:rFonts w:hint="eastAsia" w:ascii="宋体" w:hAnsi="宋体" w:eastAsia="宋体" w:cs="宋体"/>
                <w:color w:val="auto"/>
                <w:sz w:val="21"/>
                <w:szCs w:val="21"/>
                <w:highlight w:val="none"/>
                <w:u w:val="single"/>
              </w:rPr>
              <w:t>应为中华人民共和国境内依法注册的独立企业法人。</w:t>
            </w:r>
          </w:p>
          <w:p w14:paraId="1822D2F0">
            <w:pPr>
              <w:widowControl/>
              <w:shd w:val="clear" w:color="auto" w:fill="FFFFFF"/>
              <w:snapToGrid w:val="0"/>
              <w:jc w:val="left"/>
              <w:rPr>
                <w:rFonts w:hint="eastAsia" w:ascii="宋体" w:hAnsi="宋体" w:eastAsia="宋体" w:cs="宋体"/>
                <w:color w:val="auto"/>
                <w:sz w:val="21"/>
                <w:szCs w:val="21"/>
                <w:highlight w:val="none"/>
                <w:u w:val="single"/>
              </w:rPr>
            </w:pPr>
            <w:r>
              <w:rPr>
                <w:rFonts w:hint="eastAsia" w:ascii="宋体" w:hAnsi="宋体" w:eastAsia="宋体" w:cs="宋体"/>
                <w:b w:val="0"/>
                <w:bCs w:val="0"/>
                <w:color w:val="auto"/>
                <w:sz w:val="21"/>
                <w:szCs w:val="21"/>
                <w:highlight w:val="none"/>
                <w:u w:val="none"/>
                <w:lang w:val="en-US" w:eastAsia="zh-CN"/>
              </w:rPr>
              <w:t>（2）</w:t>
            </w:r>
            <w:r>
              <w:rPr>
                <w:rFonts w:hint="eastAsia" w:ascii="宋体" w:hAnsi="宋体" w:eastAsia="宋体" w:cs="宋体"/>
                <w:color w:val="auto"/>
                <w:sz w:val="21"/>
                <w:szCs w:val="21"/>
                <w:highlight w:val="none"/>
                <w:u w:val="single"/>
                <w:lang w:val="en-US" w:eastAsia="zh-CN"/>
              </w:rPr>
              <w:t>参选人</w:t>
            </w:r>
            <w:r>
              <w:rPr>
                <w:rFonts w:hint="eastAsia" w:ascii="宋体" w:hAnsi="宋体" w:eastAsia="宋体" w:cs="宋体"/>
                <w:color w:val="auto"/>
                <w:sz w:val="21"/>
                <w:szCs w:val="21"/>
                <w:highlight w:val="none"/>
                <w:u w:val="single"/>
              </w:rPr>
              <w:t>须具备合法有效的企业营业执照。</w:t>
            </w:r>
          </w:p>
          <w:p w14:paraId="4D2DE7E2">
            <w:pPr>
              <w:widowControl/>
              <w:shd w:val="clear" w:color="auto" w:fill="FFFFFF"/>
              <w:snapToGrid w:val="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u w:val="none"/>
                <w:lang w:val="en-US" w:eastAsia="zh-CN"/>
              </w:rPr>
              <w:t>（3）</w:t>
            </w:r>
            <w:r>
              <w:rPr>
                <w:rFonts w:hint="eastAsia" w:ascii="宋体" w:hAnsi="宋体" w:eastAsia="宋体" w:cs="宋体"/>
                <w:color w:val="auto"/>
                <w:sz w:val="21"/>
                <w:szCs w:val="21"/>
                <w:highlight w:val="none"/>
                <w:u w:val="single"/>
                <w:lang w:val="en-US" w:eastAsia="zh-CN"/>
              </w:rPr>
              <w:t>参选人</w:t>
            </w:r>
            <w:r>
              <w:rPr>
                <w:rFonts w:hint="eastAsia" w:ascii="宋体" w:hAnsi="宋体" w:eastAsia="宋体" w:cs="宋体"/>
                <w:color w:val="auto"/>
                <w:sz w:val="21"/>
                <w:szCs w:val="21"/>
                <w:highlight w:val="none"/>
                <w:u w:val="single"/>
              </w:rPr>
              <w:t>应为产品的生产（制造）厂家</w:t>
            </w:r>
            <w:r>
              <w:rPr>
                <w:rFonts w:hint="eastAsia" w:ascii="宋体" w:hAnsi="宋体" w:eastAsia="宋体" w:cs="宋体"/>
                <w:color w:val="auto"/>
                <w:sz w:val="21"/>
                <w:szCs w:val="21"/>
                <w:highlight w:val="none"/>
              </w:rPr>
              <w:t>。</w:t>
            </w:r>
          </w:p>
          <w:p w14:paraId="2FA8A03F">
            <w:pPr>
              <w:widowControl/>
              <w:shd w:val="clear" w:color="auto" w:fill="FFFFFF"/>
              <w:snapToGrid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u w:val="none"/>
                <w:lang w:val="en-US" w:eastAsia="zh-CN"/>
              </w:rPr>
              <w:t>（4）</w:t>
            </w:r>
            <w:r>
              <w:rPr>
                <w:rFonts w:hint="eastAsia" w:ascii="宋体" w:hAnsi="宋体" w:eastAsia="宋体" w:cs="宋体"/>
                <w:color w:val="auto"/>
                <w:kern w:val="2"/>
                <w:sz w:val="21"/>
                <w:szCs w:val="21"/>
                <w:highlight w:val="none"/>
                <w:lang w:val="en-US" w:eastAsia="zh-CN" w:bidi="ar-SA"/>
              </w:rPr>
              <w:t>具备</w:t>
            </w:r>
            <w:r>
              <w:rPr>
                <w:rFonts w:hint="eastAsia" w:ascii="宋体" w:hAnsi="宋体" w:eastAsia="宋体" w:cs="宋体"/>
                <w:color w:val="auto"/>
                <w:sz w:val="21"/>
                <w:szCs w:val="21"/>
                <w:highlight w:val="none"/>
              </w:rPr>
              <w:t>压力管道元件制造</w:t>
            </w:r>
            <w:r>
              <w:rPr>
                <w:rFonts w:hint="eastAsia" w:ascii="宋体" w:hAnsi="宋体" w:eastAsia="宋体" w:cs="宋体"/>
                <w:color w:val="auto"/>
                <w:kern w:val="2"/>
                <w:sz w:val="21"/>
                <w:szCs w:val="21"/>
                <w:highlight w:val="none"/>
                <w:lang w:val="en-US" w:eastAsia="zh-CN" w:bidi="ar-SA"/>
              </w:rPr>
              <w:t>金属阀门类的</w:t>
            </w:r>
            <w:r>
              <w:rPr>
                <w:rFonts w:hint="eastAsia" w:ascii="宋体" w:hAnsi="宋体" w:eastAsia="宋体" w:cs="宋体"/>
                <w:b w:val="0"/>
                <w:bCs w:val="0"/>
                <w:color w:val="auto"/>
                <w:kern w:val="2"/>
                <w:sz w:val="21"/>
                <w:szCs w:val="21"/>
                <w:highlight w:val="none"/>
                <w:u w:val="single"/>
                <w:lang w:val="en-US" w:eastAsia="zh-CN" w:bidi="ar-SA"/>
              </w:rPr>
              <w:t>“特种设备生产许可证”</w:t>
            </w:r>
            <w:r>
              <w:rPr>
                <w:rFonts w:hint="eastAsia" w:ascii="宋体" w:hAnsi="宋体" w:eastAsia="宋体" w:cs="宋体"/>
                <w:b w:val="0"/>
                <w:bCs w:val="0"/>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lang w:val="en-US" w:eastAsia="zh-CN" w:bidi="ar-SA"/>
              </w:rPr>
              <w:t>且证书在有效期内；</w:t>
            </w:r>
          </w:p>
          <w:p w14:paraId="29E980F4">
            <w:pPr>
              <w:pStyle w:val="60"/>
              <w:keepNext w:val="0"/>
              <w:keepLines w:val="0"/>
              <w:pageBreakBefore w:val="0"/>
              <w:kinsoku/>
              <w:wordWrap/>
              <w:overflowPunct/>
              <w:topLinePunct w:val="0"/>
              <w:autoSpaceDE/>
              <w:autoSpaceDN/>
              <w:bidi w:val="0"/>
              <w:adjustRightInd/>
              <w:spacing w:line="520" w:lineRule="exact"/>
              <w:textAlignment w:val="auto"/>
              <w:rPr>
                <w:rFonts w:hint="eastAsia" w:ascii="宋体" w:hAnsi="宋体" w:eastAsia="宋体" w:cs="宋体"/>
                <w:color w:val="auto"/>
                <w:kern w:val="44"/>
                <w:sz w:val="21"/>
                <w:szCs w:val="21"/>
                <w:highlight w:val="none"/>
              </w:rPr>
            </w:pPr>
            <w:r>
              <w:rPr>
                <w:rFonts w:hint="eastAsia" w:ascii="宋体" w:hAnsi="宋体" w:eastAsia="宋体" w:cs="宋体"/>
                <w:b w:val="0"/>
                <w:bCs w:val="0"/>
                <w:color w:val="auto"/>
                <w:sz w:val="21"/>
                <w:szCs w:val="21"/>
                <w:highlight w:val="none"/>
                <w:u w:val="none"/>
                <w:lang w:val="en-US" w:eastAsia="zh-CN"/>
              </w:rPr>
              <w:t>（</w:t>
            </w:r>
            <w:r>
              <w:rPr>
                <w:rFonts w:hint="eastAsia" w:ascii="宋体" w:hAnsi="宋体" w:cs="宋体"/>
                <w:b w:val="0"/>
                <w:bCs w:val="0"/>
                <w:color w:val="auto"/>
                <w:sz w:val="21"/>
                <w:szCs w:val="21"/>
                <w:highlight w:val="none"/>
                <w:u w:val="none"/>
                <w:lang w:val="en-US" w:eastAsia="zh-CN"/>
              </w:rPr>
              <w:t>5</w:t>
            </w:r>
            <w:r>
              <w:rPr>
                <w:rFonts w:hint="eastAsia" w:ascii="宋体" w:hAnsi="宋体" w:eastAsia="宋体" w:cs="宋体"/>
                <w:b w:val="0"/>
                <w:bCs w:val="0"/>
                <w:color w:val="auto"/>
                <w:sz w:val="21"/>
                <w:szCs w:val="21"/>
                <w:highlight w:val="none"/>
                <w:u w:val="none"/>
                <w:lang w:val="en-US" w:eastAsia="zh-CN"/>
              </w:rPr>
              <w:t>）</w:t>
            </w:r>
            <w:r>
              <w:rPr>
                <w:rFonts w:hint="eastAsia" w:ascii="宋体" w:hAnsi="宋体" w:eastAsia="宋体" w:cs="宋体"/>
                <w:color w:val="auto"/>
                <w:kern w:val="2"/>
                <w:sz w:val="21"/>
                <w:szCs w:val="21"/>
                <w:highlight w:val="none"/>
                <w:lang w:val="en-US" w:eastAsia="zh-CN" w:bidi="ar-SA"/>
              </w:rPr>
              <w:t>需提供</w:t>
            </w:r>
            <w:r>
              <w:rPr>
                <w:rFonts w:hint="eastAsia" w:ascii="宋体" w:hAnsi="宋体" w:cs="宋体"/>
                <w:color w:val="auto"/>
                <w:kern w:val="2"/>
                <w:sz w:val="21"/>
                <w:szCs w:val="21"/>
                <w:highlight w:val="none"/>
                <w:lang w:val="en-US" w:eastAsia="zh-CN" w:bidi="ar-SA"/>
              </w:rPr>
              <w:t>一个及以上</w:t>
            </w:r>
            <w:r>
              <w:rPr>
                <w:rFonts w:hint="eastAsia" w:ascii="宋体" w:hAnsi="宋体" w:eastAsia="宋体" w:cs="宋体"/>
                <w:b w:val="0"/>
                <w:bCs w:val="0"/>
                <w:color w:val="auto"/>
                <w:kern w:val="2"/>
                <w:sz w:val="21"/>
                <w:szCs w:val="21"/>
                <w:highlight w:val="none"/>
                <w:u w:val="none"/>
                <w:lang w:val="en-US" w:eastAsia="zh-CN" w:bidi="ar-SA"/>
              </w:rPr>
              <w:t>管径≥2400mm</w:t>
            </w:r>
            <w:r>
              <w:rPr>
                <w:rFonts w:hint="eastAsia" w:ascii="宋体" w:hAnsi="宋体" w:cs="宋体"/>
                <w:b w:val="0"/>
                <w:bCs w:val="0"/>
                <w:color w:val="auto"/>
                <w:kern w:val="2"/>
                <w:sz w:val="21"/>
                <w:szCs w:val="21"/>
                <w:highlight w:val="none"/>
                <w:u w:val="none"/>
                <w:lang w:val="en-US" w:eastAsia="zh-CN" w:bidi="ar-SA"/>
              </w:rPr>
              <w:t>的</w:t>
            </w:r>
            <w:r>
              <w:rPr>
                <w:rFonts w:hint="eastAsia" w:ascii="宋体" w:hAnsi="宋体" w:eastAsia="宋体" w:cs="宋体"/>
                <w:color w:val="auto"/>
                <w:kern w:val="2"/>
                <w:sz w:val="21"/>
                <w:szCs w:val="21"/>
                <w:highlight w:val="none"/>
                <w:lang w:val="en-US" w:eastAsia="zh-CN" w:bidi="ar-SA"/>
              </w:rPr>
              <w:t>类似阀门制造业绩</w:t>
            </w:r>
            <w:r>
              <w:rPr>
                <w:rFonts w:hint="eastAsia" w:ascii="宋体" w:hAnsi="宋体" w:cs="宋体"/>
                <w:color w:val="auto"/>
                <w:kern w:val="2"/>
                <w:sz w:val="21"/>
                <w:szCs w:val="21"/>
                <w:highlight w:val="none"/>
                <w:lang w:val="en-US" w:eastAsia="zh-CN" w:bidi="ar-SA"/>
              </w:rPr>
              <w:t>；</w:t>
            </w:r>
          </w:p>
          <w:p w14:paraId="5A997F0D">
            <w:pPr>
              <w:keepNext w:val="0"/>
              <w:keepLines w:val="0"/>
              <w:pageBreakBefore w:val="0"/>
              <w:widowControl/>
              <w:shd w:val="clear" w:color="auto" w:fill="FFFFFF"/>
              <w:kinsoku/>
              <w:wordWrap/>
              <w:overflowPunct/>
              <w:topLinePunct w:val="0"/>
              <w:autoSpaceDE/>
              <w:autoSpaceDN/>
              <w:bidi w:val="0"/>
              <w:adjustRightInd/>
              <w:snapToGrid w:val="0"/>
              <w:spacing w:line="520" w:lineRule="exact"/>
              <w:jc w:val="left"/>
              <w:textAlignment w:val="auto"/>
              <w:rPr>
                <w:rFonts w:hint="eastAsia" w:ascii="宋体" w:hAnsi="宋体" w:eastAsia="宋体" w:cs="宋体"/>
                <w:color w:val="auto"/>
                <w:kern w:val="44"/>
                <w:sz w:val="21"/>
                <w:szCs w:val="21"/>
                <w:highlight w:val="none"/>
              </w:rPr>
            </w:pPr>
            <w:r>
              <w:rPr>
                <w:rFonts w:hint="eastAsia" w:ascii="宋体" w:hAnsi="宋体" w:eastAsia="宋体" w:cs="宋体"/>
                <w:b w:val="0"/>
                <w:bCs w:val="0"/>
                <w:color w:val="auto"/>
                <w:sz w:val="21"/>
                <w:szCs w:val="21"/>
                <w:highlight w:val="none"/>
                <w:u w:val="none"/>
                <w:lang w:val="en-US" w:eastAsia="zh-CN"/>
              </w:rPr>
              <w:t>（6）</w:t>
            </w:r>
            <w:r>
              <w:rPr>
                <w:rFonts w:hint="eastAsia" w:ascii="宋体" w:hAnsi="宋体" w:eastAsia="宋体" w:cs="宋体"/>
                <w:color w:val="auto"/>
                <w:kern w:val="44"/>
                <w:sz w:val="21"/>
                <w:szCs w:val="21"/>
                <w:highlight w:val="none"/>
              </w:rPr>
              <w:t>未被“信用中国”网站列入失信被执行人名单、重大税收违法案件当事人名单、政府采购严重违法失信行为记录名单。未被“国家企业信用信息公示系统”网站列入经营异常名录信息、严重违法失信企业名单（黑名单）信息。</w:t>
            </w:r>
          </w:p>
          <w:p w14:paraId="010970CB">
            <w:pPr>
              <w:pStyle w:val="27"/>
              <w:shd w:val="clear" w:color="auto" w:fill="FFFFFF"/>
              <w:spacing w:before="0" w:beforeAutospacing="0" w:after="0" w:afterAutospacing="0" w:line="360" w:lineRule="auto"/>
              <w:rPr>
                <w:rFonts w:hint="eastAsia" w:ascii="宋体" w:hAnsi="宋体" w:eastAsia="宋体" w:cs="宋体"/>
                <w:color w:val="auto"/>
                <w:kern w:val="44"/>
                <w:sz w:val="21"/>
                <w:szCs w:val="21"/>
                <w:highlight w:val="none"/>
              </w:rPr>
            </w:pPr>
            <w:r>
              <w:rPr>
                <w:rFonts w:hint="eastAsia" w:ascii="宋体" w:hAnsi="宋体" w:eastAsia="宋体" w:cs="宋体"/>
                <w:b w:val="0"/>
                <w:bCs w:val="0"/>
                <w:color w:val="auto"/>
                <w:sz w:val="21"/>
                <w:szCs w:val="21"/>
                <w:highlight w:val="none"/>
                <w:u w:val="none"/>
                <w:lang w:val="en-US" w:eastAsia="zh-CN"/>
              </w:rPr>
              <w:t>（</w:t>
            </w:r>
            <w:r>
              <w:rPr>
                <w:rFonts w:hint="eastAsia" w:cs="宋体"/>
                <w:b w:val="0"/>
                <w:bCs w:val="0"/>
                <w:color w:val="auto"/>
                <w:sz w:val="21"/>
                <w:szCs w:val="21"/>
                <w:highlight w:val="none"/>
                <w:u w:val="none"/>
                <w:lang w:val="en-US" w:eastAsia="zh-CN"/>
              </w:rPr>
              <w:t>7</w:t>
            </w:r>
            <w:r>
              <w:rPr>
                <w:rFonts w:hint="eastAsia" w:ascii="宋体" w:hAnsi="宋体" w:eastAsia="宋体" w:cs="宋体"/>
                <w:b w:val="0"/>
                <w:bCs w:val="0"/>
                <w:color w:val="auto"/>
                <w:sz w:val="21"/>
                <w:szCs w:val="21"/>
                <w:highlight w:val="none"/>
                <w:u w:val="none"/>
                <w:lang w:val="en-US" w:eastAsia="zh-CN"/>
              </w:rPr>
              <w:t>）</w:t>
            </w:r>
            <w:r>
              <w:rPr>
                <w:rFonts w:hint="eastAsia" w:ascii="宋体" w:hAnsi="宋体" w:eastAsia="宋体" w:cs="宋体"/>
                <w:color w:val="auto"/>
                <w:kern w:val="44"/>
                <w:sz w:val="21"/>
                <w:szCs w:val="21"/>
                <w:highlight w:val="none"/>
                <w:lang w:val="en-US" w:eastAsia="zh-CN"/>
              </w:rPr>
              <w:t>参选人</w:t>
            </w:r>
            <w:r>
              <w:rPr>
                <w:rFonts w:hint="eastAsia" w:ascii="宋体" w:hAnsi="宋体" w:eastAsia="宋体" w:cs="宋体"/>
                <w:color w:val="auto"/>
                <w:kern w:val="44"/>
                <w:sz w:val="21"/>
                <w:szCs w:val="21"/>
                <w:highlight w:val="none"/>
              </w:rPr>
              <w:t>应提交参加政府采购活动前三年内，在经营活动中没有重大违法记录，也无行贿犯罪记录的书面声明。</w:t>
            </w:r>
          </w:p>
          <w:p w14:paraId="4C78A81B">
            <w:pPr>
              <w:widowControl/>
              <w:shd w:val="clear" w:color="auto" w:fill="FFFFFF"/>
              <w:snapToGrid w:val="0"/>
              <w:jc w:val="left"/>
              <w:rPr>
                <w:rFonts w:hint="eastAsia" w:ascii="宋体" w:hAnsi="宋体" w:eastAsia="宋体" w:cs="宋体"/>
                <w:color w:val="auto"/>
                <w:kern w:val="44"/>
                <w:sz w:val="21"/>
                <w:szCs w:val="21"/>
                <w:highlight w:val="none"/>
              </w:rPr>
            </w:pPr>
            <w:r>
              <w:rPr>
                <w:rFonts w:hint="eastAsia" w:ascii="宋体" w:hAnsi="宋体" w:eastAsia="宋体" w:cs="宋体"/>
                <w:b w:val="0"/>
                <w:bCs w:val="0"/>
                <w:color w:val="auto"/>
                <w:sz w:val="21"/>
                <w:szCs w:val="21"/>
                <w:highlight w:val="none"/>
                <w:u w:val="none"/>
                <w:lang w:val="en-US" w:eastAsia="zh-CN"/>
              </w:rPr>
              <w:t>（8）</w:t>
            </w:r>
            <w:r>
              <w:rPr>
                <w:rFonts w:hint="eastAsia" w:ascii="宋体" w:hAnsi="宋体" w:eastAsia="宋体" w:cs="宋体"/>
                <w:color w:val="auto"/>
                <w:kern w:val="2"/>
                <w:sz w:val="21"/>
                <w:szCs w:val="21"/>
                <w:highlight w:val="none"/>
                <w:lang w:val="en-US" w:eastAsia="zh-CN" w:bidi="ar-SA"/>
              </w:rPr>
              <w:t>为便于公司、检测单位、项目业主和监理可能驻厂监造、检测、抽检取样等，生产厂家需承诺能提供便利条件。</w:t>
            </w:r>
          </w:p>
          <w:p w14:paraId="266AF2A4">
            <w:pPr>
              <w:widowControl/>
              <w:shd w:val="clear" w:color="auto" w:fill="FFFFFF"/>
              <w:snapToGrid w:val="0"/>
              <w:jc w:val="left"/>
              <w:rPr>
                <w:rFonts w:hint="eastAsia" w:ascii="宋体" w:hAnsi="宋体" w:eastAsia="宋体" w:cs="宋体"/>
                <w:color w:val="auto"/>
                <w:kern w:val="44"/>
                <w:sz w:val="21"/>
                <w:szCs w:val="21"/>
                <w:highlight w:val="none"/>
              </w:rPr>
            </w:pPr>
            <w:r>
              <w:rPr>
                <w:rFonts w:hint="eastAsia" w:ascii="宋体" w:hAnsi="宋体" w:eastAsia="宋体" w:cs="宋体"/>
                <w:b w:val="0"/>
                <w:bCs w:val="0"/>
                <w:color w:val="auto"/>
                <w:sz w:val="21"/>
                <w:szCs w:val="21"/>
                <w:highlight w:val="none"/>
                <w:u w:val="none"/>
                <w:lang w:val="en-US" w:eastAsia="zh-CN"/>
              </w:rPr>
              <w:t>（9）</w:t>
            </w:r>
            <w:r>
              <w:rPr>
                <w:rFonts w:hint="eastAsia" w:ascii="宋体" w:hAnsi="宋体" w:eastAsia="宋体" w:cs="宋体"/>
                <w:color w:val="auto"/>
                <w:kern w:val="44"/>
                <w:sz w:val="21"/>
                <w:szCs w:val="21"/>
                <w:highlight w:val="none"/>
                <w:lang w:val="en-US" w:eastAsia="zh-CN"/>
              </w:rPr>
              <w:t>参选人</w:t>
            </w:r>
            <w:r>
              <w:rPr>
                <w:rFonts w:hint="eastAsia" w:ascii="宋体" w:hAnsi="宋体" w:eastAsia="宋体" w:cs="宋体"/>
                <w:color w:val="auto"/>
                <w:kern w:val="44"/>
                <w:sz w:val="21"/>
                <w:szCs w:val="21"/>
                <w:highlight w:val="none"/>
              </w:rPr>
              <w:t>应依法纳税</w:t>
            </w:r>
            <w:r>
              <w:rPr>
                <w:rFonts w:hint="eastAsia" w:ascii="宋体" w:hAnsi="宋体" w:eastAsia="宋体" w:cs="宋体"/>
                <w:color w:val="auto"/>
                <w:kern w:val="44"/>
                <w:sz w:val="21"/>
                <w:szCs w:val="21"/>
                <w:highlight w:val="none"/>
                <w:lang w:eastAsia="zh-CN"/>
              </w:rPr>
              <w:t>，</w:t>
            </w:r>
            <w:r>
              <w:rPr>
                <w:rFonts w:hint="eastAsia" w:ascii="宋体" w:hAnsi="宋体" w:eastAsia="宋体" w:cs="宋体"/>
                <w:color w:val="auto"/>
                <w:kern w:val="44"/>
                <w:sz w:val="21"/>
                <w:szCs w:val="21"/>
                <w:highlight w:val="none"/>
                <w:lang w:val="en-US" w:eastAsia="zh-CN"/>
              </w:rPr>
              <w:t>且</w:t>
            </w:r>
            <w:r>
              <w:rPr>
                <w:rFonts w:hint="eastAsia" w:ascii="宋体" w:hAnsi="宋体" w:eastAsia="宋体" w:cs="宋体"/>
                <w:color w:val="auto"/>
                <w:kern w:val="44"/>
                <w:sz w:val="21"/>
                <w:szCs w:val="21"/>
                <w:highlight w:val="none"/>
              </w:rPr>
              <w:t>财务状况良好。</w:t>
            </w:r>
          </w:p>
          <w:p w14:paraId="727744D6">
            <w:pPr>
              <w:spacing w:line="240" w:lineRule="auto"/>
              <w:rPr>
                <w:rFonts w:ascii="宋体" w:hAnsi="宋体" w:cs="宋体"/>
                <w:b/>
                <w:bCs/>
                <w:color w:val="auto"/>
                <w:szCs w:val="21"/>
                <w:highlight w:val="none"/>
              </w:rPr>
            </w:pPr>
            <w:r>
              <w:rPr>
                <w:rFonts w:hint="eastAsia" w:ascii="宋体" w:hAnsi="宋体" w:cs="宋体"/>
                <w:b/>
                <w:bCs/>
                <w:color w:val="auto"/>
                <w:szCs w:val="21"/>
                <w:highlight w:val="none"/>
              </w:rPr>
              <w:t>（注：</w:t>
            </w:r>
            <w:r>
              <w:rPr>
                <w:rFonts w:hint="eastAsia" w:ascii="宋体" w:hAnsi="宋体" w:cs="宋体"/>
                <w:b/>
                <w:bCs/>
                <w:color w:val="auto"/>
                <w:szCs w:val="21"/>
                <w:highlight w:val="none"/>
                <w:lang w:val="en-US" w:eastAsia="zh-CN"/>
              </w:rPr>
              <w:t>参选人</w:t>
            </w:r>
            <w:r>
              <w:rPr>
                <w:rFonts w:hint="eastAsia" w:ascii="宋体" w:hAnsi="宋体" w:cs="宋体"/>
                <w:b/>
                <w:bCs/>
                <w:color w:val="auto"/>
                <w:szCs w:val="21"/>
                <w:highlight w:val="none"/>
              </w:rPr>
              <w:t>提供的相应承诺书及证明材料复印件均应内容完整、清晰、整洁，并由</w:t>
            </w:r>
            <w:r>
              <w:rPr>
                <w:rFonts w:hint="eastAsia" w:ascii="宋体" w:hAnsi="宋体" w:cs="宋体"/>
                <w:b/>
                <w:bCs/>
                <w:color w:val="auto"/>
                <w:szCs w:val="21"/>
                <w:highlight w:val="none"/>
                <w:lang w:eastAsia="zh-CN"/>
              </w:rPr>
              <w:t>参选</w:t>
            </w:r>
            <w:r>
              <w:rPr>
                <w:rFonts w:hint="eastAsia" w:ascii="宋体" w:hAnsi="宋体" w:cs="宋体"/>
                <w:b/>
                <w:bCs/>
                <w:color w:val="auto"/>
                <w:szCs w:val="21"/>
                <w:highlight w:val="none"/>
              </w:rPr>
              <w:t>人加盖其单位公章）</w:t>
            </w:r>
          </w:p>
        </w:tc>
      </w:tr>
      <w:tr w14:paraId="6AB14BDE">
        <w:tblPrEx>
          <w:tblCellMar>
            <w:top w:w="0" w:type="dxa"/>
            <w:left w:w="108" w:type="dxa"/>
            <w:bottom w:w="0" w:type="dxa"/>
            <w:right w:w="108" w:type="dxa"/>
          </w:tblCellMar>
        </w:tblPrEx>
        <w:trPr>
          <w:trHeight w:val="630" w:hRule="atLeast"/>
        </w:trPr>
        <w:tc>
          <w:tcPr>
            <w:tcW w:w="746" w:type="dxa"/>
            <w:tcBorders>
              <w:top w:val="single" w:color="auto" w:sz="4" w:space="0"/>
              <w:left w:val="single" w:color="auto" w:sz="4" w:space="0"/>
              <w:bottom w:val="single" w:color="auto" w:sz="4" w:space="0"/>
              <w:right w:val="single" w:color="auto" w:sz="4" w:space="0"/>
            </w:tcBorders>
            <w:vAlign w:val="center"/>
          </w:tcPr>
          <w:p w14:paraId="783D4A3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11</w:t>
            </w:r>
          </w:p>
        </w:tc>
        <w:tc>
          <w:tcPr>
            <w:tcW w:w="1774" w:type="dxa"/>
            <w:tcBorders>
              <w:top w:val="single" w:color="auto" w:sz="4" w:space="0"/>
              <w:left w:val="single" w:color="auto" w:sz="4" w:space="0"/>
              <w:bottom w:val="single" w:color="auto" w:sz="4" w:space="0"/>
              <w:right w:val="single" w:color="auto" w:sz="4" w:space="0"/>
            </w:tcBorders>
            <w:vAlign w:val="center"/>
          </w:tcPr>
          <w:p w14:paraId="33C54CD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踏勘现场</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3579A0E8">
            <w:pPr>
              <w:spacing w:line="240" w:lineRule="auto"/>
              <w:rPr>
                <w:rFonts w:ascii="宋体" w:hAnsi="宋体" w:cs="宋体"/>
                <w:color w:val="auto"/>
                <w:szCs w:val="21"/>
                <w:highlight w:val="none"/>
              </w:rPr>
            </w:pPr>
            <w:r>
              <w:rPr>
                <w:rFonts w:hint="eastAsia" w:ascii="宋体" w:hAnsi="宋体"/>
                <w:color w:val="auto"/>
                <w:szCs w:val="21"/>
                <w:highlight w:val="none"/>
              </w:rPr>
              <w:t>本合同包甲方不组织踏勘现场，</w:t>
            </w:r>
            <w:r>
              <w:rPr>
                <w:rFonts w:hint="eastAsia" w:ascii="宋体" w:hAnsi="宋体"/>
                <w:color w:val="auto"/>
                <w:szCs w:val="21"/>
                <w:highlight w:val="none"/>
                <w:lang w:val="en-US" w:eastAsia="zh-CN"/>
              </w:rPr>
              <w:t>参选人</w:t>
            </w:r>
            <w:r>
              <w:rPr>
                <w:rFonts w:hint="eastAsia" w:ascii="宋体" w:hAnsi="宋体"/>
                <w:color w:val="auto"/>
                <w:szCs w:val="21"/>
                <w:highlight w:val="none"/>
              </w:rPr>
              <w:t>自行组织对施工现场进行踏勘，踏勘现场发生的费用自理。</w:t>
            </w:r>
          </w:p>
        </w:tc>
      </w:tr>
      <w:tr w14:paraId="4D4D5B6D">
        <w:tblPrEx>
          <w:tblCellMar>
            <w:top w:w="0" w:type="dxa"/>
            <w:left w:w="108" w:type="dxa"/>
            <w:bottom w:w="0" w:type="dxa"/>
            <w:right w:w="108" w:type="dxa"/>
          </w:tblCellMar>
        </w:tblPrEx>
        <w:trPr>
          <w:trHeight w:val="452" w:hRule="atLeast"/>
        </w:trPr>
        <w:tc>
          <w:tcPr>
            <w:tcW w:w="746" w:type="dxa"/>
            <w:tcBorders>
              <w:left w:val="single" w:color="auto" w:sz="4" w:space="0"/>
              <w:bottom w:val="single" w:color="auto" w:sz="4" w:space="0"/>
              <w:right w:val="single" w:color="auto" w:sz="4" w:space="0"/>
            </w:tcBorders>
            <w:vAlign w:val="center"/>
          </w:tcPr>
          <w:p w14:paraId="2020A009">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12</w:t>
            </w:r>
          </w:p>
        </w:tc>
        <w:tc>
          <w:tcPr>
            <w:tcW w:w="1774" w:type="dxa"/>
            <w:tcBorders>
              <w:left w:val="single" w:color="auto" w:sz="4" w:space="0"/>
              <w:bottom w:val="single" w:color="auto" w:sz="4" w:space="0"/>
              <w:right w:val="single" w:color="auto" w:sz="4" w:space="0"/>
            </w:tcBorders>
            <w:vAlign w:val="center"/>
          </w:tcPr>
          <w:p w14:paraId="7E73EE35">
            <w:pPr>
              <w:spacing w:line="420" w:lineRule="exact"/>
              <w:jc w:val="center"/>
              <w:rPr>
                <w:rFonts w:ascii="宋体" w:hAnsi="宋体" w:cs="宋体"/>
                <w:color w:val="auto"/>
                <w:szCs w:val="21"/>
                <w:highlight w:val="none"/>
              </w:rPr>
            </w:pPr>
            <w:r>
              <w:rPr>
                <w:rFonts w:hint="eastAsia" w:ascii="宋体" w:hAnsi="宋体" w:cs="宋体"/>
                <w:color w:val="auto"/>
                <w:szCs w:val="21"/>
                <w:highlight w:val="none"/>
                <w:lang w:eastAsia="zh-CN"/>
              </w:rPr>
              <w:t>参选</w:t>
            </w:r>
            <w:r>
              <w:rPr>
                <w:rFonts w:hint="eastAsia" w:ascii="宋体" w:hAnsi="宋体" w:cs="宋体"/>
                <w:color w:val="auto"/>
                <w:szCs w:val="21"/>
                <w:highlight w:val="none"/>
              </w:rPr>
              <w:t>预备会</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3E15A542">
            <w:pPr>
              <w:spacing w:line="240" w:lineRule="auto"/>
              <w:rPr>
                <w:rFonts w:ascii="宋体" w:hAnsi="宋体" w:cs="宋体"/>
                <w:color w:val="auto"/>
                <w:szCs w:val="21"/>
                <w:highlight w:val="none"/>
              </w:rPr>
            </w:pPr>
            <w:r>
              <w:rPr>
                <w:rFonts w:hint="eastAsia" w:ascii="宋体" w:hAnsi="宋体" w:cs="宋体"/>
                <w:color w:val="auto"/>
                <w:szCs w:val="21"/>
                <w:highlight w:val="none"/>
              </w:rPr>
              <w:t>不另行召开</w:t>
            </w:r>
          </w:p>
        </w:tc>
      </w:tr>
      <w:tr w14:paraId="1D79020C">
        <w:tblPrEx>
          <w:tblCellMar>
            <w:top w:w="0" w:type="dxa"/>
            <w:left w:w="108" w:type="dxa"/>
            <w:bottom w:w="0" w:type="dxa"/>
            <w:right w:w="108" w:type="dxa"/>
          </w:tblCellMar>
        </w:tblPrEx>
        <w:trPr>
          <w:trHeight w:val="613" w:hRule="atLeast"/>
        </w:trPr>
        <w:tc>
          <w:tcPr>
            <w:tcW w:w="746" w:type="dxa"/>
            <w:tcBorders>
              <w:top w:val="single" w:color="auto" w:sz="4" w:space="0"/>
              <w:left w:val="single" w:color="auto" w:sz="4" w:space="0"/>
              <w:bottom w:val="single" w:color="auto" w:sz="4" w:space="0"/>
              <w:right w:val="single" w:color="auto" w:sz="4" w:space="0"/>
            </w:tcBorders>
            <w:vAlign w:val="center"/>
          </w:tcPr>
          <w:p w14:paraId="7941A307">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3</w:t>
            </w:r>
          </w:p>
        </w:tc>
        <w:tc>
          <w:tcPr>
            <w:tcW w:w="1774" w:type="dxa"/>
            <w:tcBorders>
              <w:top w:val="single" w:color="auto" w:sz="4" w:space="0"/>
              <w:left w:val="single" w:color="auto" w:sz="4" w:space="0"/>
              <w:bottom w:val="single" w:color="auto" w:sz="4" w:space="0"/>
              <w:right w:val="single" w:color="auto" w:sz="4" w:space="0"/>
            </w:tcBorders>
            <w:vAlign w:val="center"/>
          </w:tcPr>
          <w:p w14:paraId="61673731">
            <w:pPr>
              <w:spacing w:line="420" w:lineRule="exact"/>
              <w:jc w:val="center"/>
              <w:rPr>
                <w:rFonts w:ascii="宋体" w:hAnsi="宋体" w:cs="宋体"/>
                <w:color w:val="auto"/>
                <w:szCs w:val="21"/>
                <w:highlight w:val="none"/>
              </w:rPr>
            </w:pPr>
            <w:bookmarkStart w:id="143" w:name="_Toc221950063"/>
            <w:r>
              <w:rPr>
                <w:rFonts w:hint="eastAsia" w:ascii="宋体" w:hAnsi="宋体" w:cs="宋体"/>
                <w:color w:val="auto"/>
                <w:szCs w:val="21"/>
                <w:highlight w:val="none"/>
                <w:lang w:val="en-US" w:eastAsia="zh-CN"/>
              </w:rPr>
              <w:t>参选</w:t>
            </w:r>
            <w:r>
              <w:rPr>
                <w:rFonts w:hint="eastAsia" w:ascii="宋体" w:hAnsi="宋体" w:cs="宋体"/>
                <w:color w:val="auto"/>
                <w:szCs w:val="21"/>
                <w:highlight w:val="none"/>
              </w:rPr>
              <w:t>有效期</w:t>
            </w:r>
            <w:bookmarkEnd w:id="143"/>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5FD3B997">
            <w:pPr>
              <w:adjustRightInd w:val="0"/>
              <w:snapToGrid w:val="0"/>
              <w:spacing w:line="240" w:lineRule="auto"/>
              <w:rPr>
                <w:rFonts w:ascii="宋体" w:hAnsi="宋体" w:cs="宋体"/>
                <w:color w:val="auto"/>
                <w:szCs w:val="21"/>
                <w:highlight w:val="none"/>
              </w:rPr>
            </w:pPr>
            <w:r>
              <w:rPr>
                <w:rFonts w:hint="eastAsia" w:ascii="宋体" w:hAnsi="宋体" w:cs="宋体"/>
                <w:color w:val="auto"/>
                <w:kern w:val="0"/>
                <w:szCs w:val="21"/>
                <w:highlight w:val="none"/>
                <w:lang w:val="en-US" w:eastAsia="zh-CN"/>
              </w:rPr>
              <w:t>参选</w:t>
            </w:r>
            <w:r>
              <w:rPr>
                <w:rFonts w:hint="eastAsia" w:ascii="宋体" w:hAnsi="宋体" w:cs="宋体"/>
                <w:color w:val="auto"/>
                <w:kern w:val="0"/>
                <w:szCs w:val="21"/>
                <w:highlight w:val="none"/>
              </w:rPr>
              <w:t>文件递交时起</w:t>
            </w:r>
            <w:r>
              <w:rPr>
                <w:rFonts w:ascii="宋体" w:hAnsi="宋体" w:cs="宋体"/>
                <w:color w:val="auto"/>
                <w:kern w:val="0"/>
                <w:szCs w:val="21"/>
                <w:highlight w:val="none"/>
                <w:u w:val="single"/>
              </w:rPr>
              <w:t>90</w:t>
            </w:r>
            <w:r>
              <w:rPr>
                <w:rFonts w:hint="eastAsia" w:ascii="宋体" w:hAnsi="宋体" w:cs="宋体"/>
                <w:color w:val="auto"/>
                <w:kern w:val="0"/>
                <w:szCs w:val="21"/>
                <w:highlight w:val="none"/>
                <w:u w:val="single"/>
              </w:rPr>
              <w:t>个日历天内</w:t>
            </w:r>
            <w:r>
              <w:rPr>
                <w:rFonts w:hint="eastAsia" w:ascii="宋体" w:hAnsi="宋体" w:cs="宋体"/>
                <w:color w:val="auto"/>
                <w:kern w:val="0"/>
                <w:szCs w:val="21"/>
                <w:highlight w:val="none"/>
              </w:rPr>
              <w:t>。</w:t>
            </w:r>
          </w:p>
        </w:tc>
      </w:tr>
      <w:tr w14:paraId="7E195E13">
        <w:tblPrEx>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01C4CAD6">
            <w:pPr>
              <w:spacing w:line="420" w:lineRule="exact"/>
              <w:jc w:val="center"/>
              <w:rPr>
                <w:rFonts w:ascii="宋体" w:hAnsi="宋体" w:cs="宋体"/>
                <w:color w:val="auto"/>
                <w:szCs w:val="21"/>
                <w:highlight w:val="none"/>
              </w:rPr>
            </w:pPr>
            <w:r>
              <w:rPr>
                <w:rFonts w:ascii="宋体" w:hAnsi="宋体" w:cs="宋体"/>
                <w:color w:val="auto"/>
                <w:szCs w:val="21"/>
                <w:highlight w:val="none"/>
              </w:rPr>
              <w:t>14</w:t>
            </w:r>
          </w:p>
        </w:tc>
        <w:tc>
          <w:tcPr>
            <w:tcW w:w="1774" w:type="dxa"/>
            <w:tcBorders>
              <w:top w:val="single" w:color="auto" w:sz="4" w:space="0"/>
              <w:left w:val="single" w:color="auto" w:sz="4" w:space="0"/>
              <w:bottom w:val="single" w:color="auto" w:sz="4" w:space="0"/>
              <w:right w:val="single" w:color="auto" w:sz="4" w:space="0"/>
            </w:tcBorders>
            <w:vAlign w:val="center"/>
          </w:tcPr>
          <w:p w14:paraId="1FB6A52D">
            <w:pPr>
              <w:spacing w:line="42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参选</w:t>
            </w:r>
            <w:r>
              <w:rPr>
                <w:rFonts w:hint="eastAsia" w:ascii="宋体" w:hAnsi="宋体" w:cs="宋体"/>
                <w:color w:val="auto"/>
                <w:szCs w:val="21"/>
                <w:highlight w:val="none"/>
              </w:rPr>
              <w:t>保证金</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05F87929">
            <w:pPr>
              <w:tabs>
                <w:tab w:val="left" w:pos="360"/>
              </w:tabs>
              <w:spacing w:line="24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lang w:eastAsia="zh-CN"/>
              </w:rPr>
              <w:t>（1）</w:t>
            </w:r>
            <w:r>
              <w:rPr>
                <w:rFonts w:hint="eastAsia" w:ascii="宋体" w:hAnsi="宋体" w:cs="宋体"/>
                <w:b/>
                <w:bCs/>
                <w:color w:val="auto"/>
                <w:szCs w:val="21"/>
                <w:highlight w:val="none"/>
              </w:rPr>
              <w:t>本次</w:t>
            </w:r>
            <w:r>
              <w:rPr>
                <w:rFonts w:hint="eastAsia" w:ascii="宋体" w:hAnsi="宋体" w:cs="宋体"/>
                <w:b/>
                <w:bCs/>
                <w:color w:val="auto"/>
                <w:szCs w:val="21"/>
                <w:highlight w:val="none"/>
                <w:lang w:val="en-US" w:eastAsia="zh-CN"/>
              </w:rPr>
              <w:t>参选</w:t>
            </w:r>
            <w:r>
              <w:rPr>
                <w:rFonts w:hint="eastAsia" w:ascii="宋体" w:hAnsi="宋体" w:cs="宋体"/>
                <w:b/>
                <w:bCs/>
                <w:color w:val="auto"/>
                <w:szCs w:val="21"/>
                <w:highlight w:val="none"/>
              </w:rPr>
              <w:t>保证金</w:t>
            </w:r>
            <w:r>
              <w:rPr>
                <w:rFonts w:hint="eastAsia" w:ascii="宋体" w:hAnsi="宋体" w:cs="宋体"/>
                <w:b/>
                <w:bCs/>
                <w:color w:val="auto"/>
                <w:szCs w:val="21"/>
                <w:highlight w:val="none"/>
                <w:u w:val="single"/>
              </w:rPr>
              <w:t>采用汇款方式</w:t>
            </w:r>
            <w:r>
              <w:rPr>
                <w:rFonts w:hint="eastAsia" w:ascii="宋体" w:hAnsi="宋体" w:cs="宋体"/>
                <w:b/>
                <w:bCs/>
                <w:color w:val="auto"/>
                <w:szCs w:val="21"/>
                <w:highlight w:val="none"/>
              </w:rPr>
              <w:t>。提交的金额：</w:t>
            </w:r>
            <w:r>
              <w:rPr>
                <w:rFonts w:hint="eastAsia" w:ascii="宋体" w:hAnsi="宋体" w:cs="宋体"/>
                <w:b/>
                <w:bCs/>
                <w:color w:val="auto"/>
                <w:szCs w:val="21"/>
                <w:highlight w:val="none"/>
                <w:u w:val="single"/>
              </w:rPr>
              <w:t xml:space="preserve"> 人民币贰拾万元。未按规定时间提交</w:t>
            </w:r>
            <w:r>
              <w:rPr>
                <w:rFonts w:hint="eastAsia" w:ascii="宋体" w:hAnsi="宋体" w:cs="宋体"/>
                <w:b/>
                <w:bCs/>
                <w:color w:val="auto"/>
                <w:szCs w:val="21"/>
                <w:highlight w:val="none"/>
                <w:u w:val="single"/>
                <w:lang w:val="en-US" w:eastAsia="zh-CN"/>
              </w:rPr>
              <w:t>参选</w:t>
            </w:r>
            <w:r>
              <w:rPr>
                <w:rFonts w:hint="eastAsia" w:ascii="宋体" w:hAnsi="宋体" w:cs="宋体"/>
                <w:b/>
                <w:bCs/>
                <w:color w:val="auto"/>
                <w:szCs w:val="21"/>
                <w:highlight w:val="none"/>
                <w:u w:val="single"/>
              </w:rPr>
              <w:t>保证金的</w:t>
            </w:r>
            <w:r>
              <w:rPr>
                <w:rFonts w:hint="eastAsia" w:ascii="宋体" w:hAnsi="宋体" w:cs="宋体"/>
                <w:b/>
                <w:bCs/>
                <w:color w:val="auto"/>
                <w:szCs w:val="21"/>
                <w:highlight w:val="none"/>
                <w:u w:val="single"/>
                <w:lang w:val="en-US" w:eastAsia="zh-CN"/>
              </w:rPr>
              <w:t>参选</w:t>
            </w:r>
            <w:r>
              <w:rPr>
                <w:rFonts w:hint="eastAsia" w:ascii="宋体" w:hAnsi="宋体" w:cs="宋体"/>
                <w:b/>
                <w:bCs/>
                <w:color w:val="auto"/>
                <w:szCs w:val="21"/>
                <w:highlight w:val="none"/>
                <w:u w:val="single"/>
              </w:rPr>
              <w:t>文件将被拒绝。</w:t>
            </w:r>
          </w:p>
          <w:p w14:paraId="15394A91">
            <w:pPr>
              <w:widowControl/>
              <w:tabs>
                <w:tab w:val="left" w:pos="900"/>
                <w:tab w:val="left" w:pos="1100"/>
              </w:tabs>
              <w:spacing w:line="240" w:lineRule="auto"/>
              <w:ind w:firstLine="422" w:firstLineChars="200"/>
              <w:jc w:val="left"/>
              <w:rPr>
                <w:rFonts w:ascii="宋体" w:hAnsi="宋体" w:cs="宋体"/>
                <w:color w:val="auto"/>
                <w:szCs w:val="21"/>
                <w:highlight w:val="none"/>
              </w:rPr>
            </w:pPr>
            <w:r>
              <w:rPr>
                <w:rFonts w:hint="eastAsia" w:ascii="宋体" w:hAnsi="宋体" w:cs="宋体"/>
                <w:b/>
                <w:bCs/>
                <w:color w:val="auto"/>
                <w:szCs w:val="21"/>
                <w:highlight w:val="none"/>
                <w:lang w:eastAsia="zh-CN"/>
              </w:rPr>
              <w:t>（2）</w:t>
            </w:r>
            <w:r>
              <w:rPr>
                <w:rFonts w:hint="eastAsia" w:ascii="宋体" w:hAnsi="宋体" w:cs="宋体"/>
                <w:b/>
                <w:bCs/>
                <w:color w:val="auto"/>
                <w:szCs w:val="21"/>
                <w:highlight w:val="none"/>
              </w:rPr>
              <w:t>提交的时间：银行转账方式的需在</w:t>
            </w:r>
            <w:r>
              <w:rPr>
                <w:rFonts w:ascii="宋体" w:hAnsi="宋体" w:cs="宋体"/>
                <w:b/>
                <w:bCs/>
                <w:color w:val="auto"/>
                <w:szCs w:val="21"/>
                <w:highlight w:val="none"/>
                <w:u w:val="single"/>
              </w:rPr>
              <w:t>202</w:t>
            </w:r>
            <w:r>
              <w:rPr>
                <w:rFonts w:hint="eastAsia" w:ascii="宋体" w:hAnsi="宋体" w:cs="宋体"/>
                <w:b/>
                <w:bCs/>
                <w:color w:val="auto"/>
                <w:szCs w:val="21"/>
                <w:highlight w:val="none"/>
                <w:u w:val="single"/>
                <w:lang w:val="en-US" w:eastAsia="zh-CN"/>
              </w:rPr>
              <w:t>6</w:t>
            </w:r>
            <w:r>
              <w:rPr>
                <w:rFonts w:hint="eastAsia" w:ascii="宋体" w:hAnsi="宋体" w:cs="宋体"/>
                <w:b/>
                <w:bCs/>
                <w:color w:val="auto"/>
                <w:szCs w:val="21"/>
                <w:highlight w:val="none"/>
                <w:u w:val="single"/>
              </w:rPr>
              <w:t>年</w:t>
            </w:r>
            <w:r>
              <w:rPr>
                <w:rFonts w:hint="eastAsia" w:ascii="宋体" w:hAnsi="宋体" w:cs="宋体"/>
                <w:b/>
                <w:bCs/>
                <w:color w:val="auto"/>
                <w:szCs w:val="21"/>
                <w:highlight w:val="none"/>
                <w:u w:val="single"/>
                <w:lang w:val="en-US" w:eastAsia="zh-CN"/>
              </w:rPr>
              <w:t>8</w:t>
            </w:r>
            <w:r>
              <w:rPr>
                <w:rFonts w:hint="eastAsia" w:ascii="宋体" w:hAnsi="宋体" w:cs="宋体"/>
                <w:b/>
                <w:bCs/>
                <w:color w:val="auto"/>
                <w:szCs w:val="21"/>
                <w:highlight w:val="none"/>
                <w:u w:val="single"/>
              </w:rPr>
              <w:t>月</w:t>
            </w:r>
            <w:r>
              <w:rPr>
                <w:rFonts w:hint="eastAsia" w:ascii="宋体" w:hAnsi="宋体" w:cs="宋体"/>
                <w:b/>
                <w:bCs/>
                <w:color w:val="auto"/>
                <w:szCs w:val="21"/>
                <w:highlight w:val="none"/>
                <w:u w:val="single"/>
                <w:lang w:val="en-US" w:eastAsia="zh-CN"/>
              </w:rPr>
              <w:t>6</w:t>
            </w:r>
            <w:r>
              <w:rPr>
                <w:rFonts w:ascii="宋体" w:hAnsi="宋体" w:cs="宋体"/>
                <w:b/>
                <w:bCs/>
                <w:color w:val="auto"/>
                <w:szCs w:val="21"/>
                <w:highlight w:val="none"/>
                <w:u w:val="single"/>
              </w:rPr>
              <w:t xml:space="preserve"> </w:t>
            </w:r>
            <w:r>
              <w:rPr>
                <w:rFonts w:hint="eastAsia" w:ascii="宋体" w:hAnsi="宋体" w:cs="宋体"/>
                <w:b/>
                <w:bCs/>
                <w:color w:val="auto"/>
                <w:szCs w:val="21"/>
                <w:highlight w:val="none"/>
                <w:u w:val="single"/>
              </w:rPr>
              <w:t>日</w:t>
            </w:r>
            <w:r>
              <w:rPr>
                <w:rFonts w:hint="eastAsia" w:ascii="宋体" w:hAnsi="宋体" w:cs="宋体"/>
                <w:b/>
                <w:bCs/>
                <w:color w:val="auto"/>
                <w:szCs w:val="21"/>
                <w:highlight w:val="none"/>
                <w:u w:val="single"/>
                <w:lang w:val="en-US" w:eastAsia="zh-CN"/>
              </w:rPr>
              <w:t>18</w:t>
            </w:r>
            <w:r>
              <w:rPr>
                <w:rFonts w:hint="eastAsia" w:ascii="宋体" w:hAnsi="宋体" w:cs="宋体"/>
                <w:b/>
                <w:bCs/>
                <w:color w:val="auto"/>
                <w:szCs w:val="21"/>
                <w:highlight w:val="none"/>
                <w:u w:val="single"/>
                <w:lang w:eastAsia="zh-CN"/>
              </w:rPr>
              <w:t>时00</w:t>
            </w:r>
            <w:r>
              <w:rPr>
                <w:rFonts w:hint="eastAsia" w:ascii="宋体" w:hAnsi="宋体" w:cs="宋体"/>
                <w:b/>
                <w:bCs/>
                <w:color w:val="auto"/>
                <w:szCs w:val="21"/>
                <w:highlight w:val="none"/>
                <w:u w:val="single"/>
              </w:rPr>
              <w:t>分前汇到公司指定银行账户</w:t>
            </w:r>
            <w:r>
              <w:rPr>
                <w:rFonts w:hint="eastAsia" w:ascii="宋体" w:hAnsi="宋体" w:cs="宋体"/>
                <w:b/>
                <w:bCs/>
                <w:color w:val="auto"/>
                <w:szCs w:val="21"/>
                <w:highlight w:val="none"/>
              </w:rPr>
              <w:t>，</w:t>
            </w:r>
            <w:r>
              <w:rPr>
                <w:rFonts w:hint="eastAsia" w:ascii="宋体" w:hAnsi="宋体" w:cs="宋体"/>
                <w:color w:val="auto"/>
                <w:szCs w:val="21"/>
                <w:highlight w:val="none"/>
              </w:rPr>
              <w:t>以银行到账时间为准。</w:t>
            </w:r>
          </w:p>
          <w:p w14:paraId="59DB3B0E">
            <w:pPr>
              <w:widowControl/>
              <w:tabs>
                <w:tab w:val="left" w:pos="900"/>
                <w:tab w:val="left" w:pos="1100"/>
              </w:tabs>
              <w:spacing w:line="24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lang w:val="en-US" w:eastAsia="zh-CN"/>
              </w:rPr>
              <w:t>参选</w:t>
            </w:r>
            <w:r>
              <w:rPr>
                <w:rFonts w:hint="eastAsia" w:ascii="宋体" w:hAnsi="宋体" w:cs="宋体"/>
                <w:color w:val="auto"/>
                <w:szCs w:val="21"/>
                <w:highlight w:val="none"/>
              </w:rPr>
              <w:t>保证金提交的方式：从</w:t>
            </w:r>
            <w:r>
              <w:rPr>
                <w:rFonts w:hint="eastAsia" w:ascii="宋体" w:hAnsi="宋体" w:cs="宋体"/>
                <w:color w:val="auto"/>
                <w:szCs w:val="21"/>
                <w:highlight w:val="none"/>
                <w:lang w:val="en-US" w:eastAsia="zh-CN"/>
              </w:rPr>
              <w:t>参选</w:t>
            </w:r>
            <w:r>
              <w:rPr>
                <w:rFonts w:hint="eastAsia" w:ascii="宋体" w:hAnsi="宋体" w:cs="宋体"/>
                <w:color w:val="auto"/>
                <w:szCs w:val="21"/>
                <w:highlight w:val="none"/>
              </w:rPr>
              <w:t>人的存款账户转账形式汇达以下指定账户</w:t>
            </w:r>
          </w:p>
          <w:p w14:paraId="0D6299D7">
            <w:pPr>
              <w:widowControl/>
              <w:tabs>
                <w:tab w:val="left" w:pos="900"/>
                <w:tab w:val="left" w:pos="1100"/>
              </w:tabs>
              <w:spacing w:line="240" w:lineRule="auto"/>
              <w:ind w:firstLine="420" w:firstLineChars="200"/>
              <w:jc w:val="left"/>
              <w:rPr>
                <w:rFonts w:ascii="宋体"/>
                <w:color w:val="auto"/>
                <w:szCs w:val="21"/>
                <w:highlight w:val="none"/>
                <w:u w:val="single"/>
              </w:rPr>
            </w:pPr>
            <w:r>
              <w:rPr>
                <w:rFonts w:hint="eastAsia" w:ascii="宋体" w:hAnsi="宋体"/>
                <w:color w:val="auto"/>
                <w:szCs w:val="21"/>
                <w:highlight w:val="none"/>
              </w:rPr>
              <w:t>户名：</w:t>
            </w:r>
            <w:r>
              <w:rPr>
                <w:rFonts w:hint="eastAsia" w:ascii="宋体" w:hAnsi="宋体"/>
                <w:color w:val="auto"/>
                <w:szCs w:val="21"/>
                <w:highlight w:val="none"/>
                <w:u w:val="single"/>
              </w:rPr>
              <w:t>福建省水利水电工程局有限公司直属分公司</w:t>
            </w:r>
          </w:p>
          <w:p w14:paraId="2796D38F">
            <w:pPr>
              <w:widowControl/>
              <w:tabs>
                <w:tab w:val="left" w:pos="900"/>
                <w:tab w:val="left" w:pos="1100"/>
              </w:tabs>
              <w:spacing w:line="240" w:lineRule="auto"/>
              <w:jc w:val="left"/>
              <w:rPr>
                <w:rFonts w:asci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账号：</w:t>
            </w:r>
            <w:r>
              <w:rPr>
                <w:rFonts w:ascii="宋体" w:hAnsi="宋体"/>
                <w:color w:val="auto"/>
                <w:szCs w:val="21"/>
                <w:highlight w:val="none"/>
                <w:u w:val="single"/>
              </w:rPr>
              <w:t>8030 1300 0003 84</w:t>
            </w:r>
          </w:p>
          <w:p w14:paraId="456D9C86">
            <w:pPr>
              <w:widowControl/>
              <w:tabs>
                <w:tab w:val="left" w:pos="900"/>
                <w:tab w:val="left" w:pos="1100"/>
              </w:tabs>
              <w:spacing w:line="240" w:lineRule="auto"/>
              <w:jc w:val="left"/>
              <w:rPr>
                <w:rFonts w:asci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开户行：</w:t>
            </w:r>
            <w:r>
              <w:rPr>
                <w:rFonts w:hint="eastAsia" w:ascii="宋体" w:hAnsi="宋体"/>
                <w:color w:val="auto"/>
                <w:szCs w:val="21"/>
                <w:highlight w:val="none"/>
                <w:u w:val="single"/>
              </w:rPr>
              <w:t>厦门银行泉州分行营业部</w:t>
            </w:r>
            <w:r>
              <w:rPr>
                <w:rFonts w:hint="eastAsia" w:ascii="宋体" w:hAnsi="宋体"/>
                <w:color w:val="auto"/>
                <w:szCs w:val="21"/>
                <w:highlight w:val="none"/>
              </w:rPr>
              <w:t>；</w:t>
            </w:r>
          </w:p>
          <w:p w14:paraId="34C4C5D9">
            <w:pPr>
              <w:widowControl/>
              <w:tabs>
                <w:tab w:val="left" w:pos="900"/>
                <w:tab w:val="left" w:pos="1100"/>
              </w:tabs>
              <w:spacing w:line="240" w:lineRule="auto"/>
              <w:ind w:firstLine="420" w:firstLineChars="200"/>
              <w:jc w:val="left"/>
              <w:rPr>
                <w:rFonts w:ascii="宋体" w:cs="宋体"/>
                <w:color w:val="auto"/>
                <w:szCs w:val="21"/>
                <w:highlight w:val="none"/>
                <w:u w:val="single"/>
              </w:rPr>
            </w:pPr>
            <w:r>
              <w:rPr>
                <w:rFonts w:hint="eastAsia" w:ascii="宋体" w:hAnsi="宋体" w:cs="宋体"/>
                <w:color w:val="auto"/>
                <w:szCs w:val="21"/>
                <w:highlight w:val="none"/>
              </w:rPr>
              <w:t>转账汇款单写明：</w:t>
            </w:r>
            <w:r>
              <w:rPr>
                <w:rFonts w:hint="eastAsia" w:ascii="宋体" w:hAnsi="宋体" w:cs="宋体"/>
                <w:bCs/>
                <w:color w:val="auto"/>
                <w:szCs w:val="21"/>
                <w:highlight w:val="none"/>
                <w:u w:val="single"/>
              </w:rPr>
              <w:t>漳州市东南部沿海地区九龙江调水工程阀门类采购</w:t>
            </w:r>
            <w:r>
              <w:rPr>
                <w:rFonts w:hint="eastAsia" w:ascii="宋体" w:hAnsi="宋体" w:cs="宋体"/>
                <w:bCs/>
                <w:color w:val="auto"/>
                <w:szCs w:val="21"/>
                <w:highlight w:val="none"/>
                <w:u w:val="single"/>
                <w:lang w:eastAsia="zh-CN"/>
              </w:rPr>
              <w:t>（</w:t>
            </w:r>
            <w:r>
              <w:rPr>
                <w:rFonts w:hint="eastAsia" w:ascii="宋体" w:hAnsi="宋体" w:cs="宋体"/>
                <w:bCs/>
                <w:color w:val="auto"/>
                <w:szCs w:val="21"/>
                <w:highlight w:val="none"/>
                <w:u w:val="single"/>
                <w:lang w:val="en-US" w:eastAsia="zh-CN"/>
              </w:rPr>
              <w:t>重新招选</w:t>
            </w:r>
            <w:r>
              <w:rPr>
                <w:rFonts w:hint="eastAsia" w:ascii="宋体" w:hAnsi="宋体" w:cs="宋体"/>
                <w:bCs/>
                <w:color w:val="auto"/>
                <w:szCs w:val="21"/>
                <w:highlight w:val="none"/>
                <w:u w:val="single"/>
                <w:lang w:eastAsia="zh-CN"/>
              </w:rPr>
              <w:t>）</w:t>
            </w:r>
            <w:r>
              <w:rPr>
                <w:rFonts w:hint="eastAsia" w:ascii="宋体" w:hAnsi="宋体" w:cs="宋体"/>
                <w:bCs/>
                <w:color w:val="auto"/>
                <w:szCs w:val="21"/>
                <w:highlight w:val="none"/>
                <w:u w:val="single"/>
                <w:lang w:val="en-US" w:eastAsia="zh-CN"/>
              </w:rPr>
              <w:t>参选</w:t>
            </w:r>
            <w:r>
              <w:rPr>
                <w:rFonts w:hint="eastAsia" w:ascii="宋体" w:hAnsi="宋体" w:cs="宋体"/>
                <w:color w:val="auto"/>
                <w:szCs w:val="21"/>
                <w:highlight w:val="none"/>
                <w:u w:val="single"/>
              </w:rPr>
              <w:t>保证金；</w:t>
            </w:r>
          </w:p>
        </w:tc>
      </w:tr>
      <w:tr w14:paraId="55AAD0BB">
        <w:tblPrEx>
          <w:tblCellMar>
            <w:top w:w="0" w:type="dxa"/>
            <w:left w:w="108" w:type="dxa"/>
            <w:bottom w:w="0" w:type="dxa"/>
            <w:right w:w="108" w:type="dxa"/>
          </w:tblCellMar>
        </w:tblPrEx>
        <w:tc>
          <w:tcPr>
            <w:tcW w:w="746" w:type="dxa"/>
            <w:tcBorders>
              <w:top w:val="single" w:color="auto" w:sz="4" w:space="0"/>
              <w:left w:val="single" w:color="auto" w:sz="4" w:space="0"/>
              <w:bottom w:val="single" w:color="auto" w:sz="4" w:space="0"/>
              <w:right w:val="single" w:color="auto" w:sz="4" w:space="0"/>
            </w:tcBorders>
            <w:vAlign w:val="center"/>
          </w:tcPr>
          <w:p w14:paraId="4AABDD60">
            <w:pPr>
              <w:spacing w:line="420" w:lineRule="exact"/>
              <w:jc w:val="center"/>
              <w:rPr>
                <w:rFonts w:ascii="宋体" w:hAnsi="宋体" w:cs="宋体"/>
                <w:color w:val="auto"/>
                <w:szCs w:val="21"/>
                <w:highlight w:val="none"/>
              </w:rPr>
            </w:pPr>
            <w:r>
              <w:rPr>
                <w:rFonts w:ascii="宋体" w:hAnsi="宋体" w:cs="宋体"/>
                <w:color w:val="auto"/>
                <w:szCs w:val="21"/>
                <w:highlight w:val="none"/>
              </w:rPr>
              <w:t>15</w:t>
            </w:r>
          </w:p>
        </w:tc>
        <w:tc>
          <w:tcPr>
            <w:tcW w:w="1774" w:type="dxa"/>
            <w:tcBorders>
              <w:top w:val="single" w:color="auto" w:sz="4" w:space="0"/>
              <w:left w:val="single" w:color="auto" w:sz="4" w:space="0"/>
              <w:bottom w:val="single" w:color="auto" w:sz="4" w:space="0"/>
              <w:right w:val="single" w:color="auto" w:sz="4" w:space="0"/>
            </w:tcBorders>
            <w:vAlign w:val="center"/>
          </w:tcPr>
          <w:p w14:paraId="3C8CE933">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递交</w:t>
            </w:r>
            <w:r>
              <w:rPr>
                <w:rFonts w:hint="eastAsia" w:ascii="宋体" w:hAnsi="宋体" w:cs="宋体"/>
                <w:color w:val="auto"/>
                <w:szCs w:val="21"/>
                <w:highlight w:val="none"/>
                <w:lang w:val="en-US" w:eastAsia="zh-CN"/>
              </w:rPr>
              <w:t>参选</w:t>
            </w:r>
            <w:r>
              <w:rPr>
                <w:rFonts w:hint="eastAsia" w:ascii="宋体" w:hAnsi="宋体" w:cs="宋体"/>
                <w:color w:val="auto"/>
                <w:szCs w:val="21"/>
                <w:highlight w:val="none"/>
              </w:rPr>
              <w:t>文件地点</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0B023A10">
            <w:pPr>
              <w:widowControl/>
              <w:tabs>
                <w:tab w:val="left" w:pos="510"/>
                <w:tab w:val="left" w:pos="900"/>
                <w:tab w:val="left" w:pos="1100"/>
              </w:tabs>
              <w:spacing w:line="240" w:lineRule="auto"/>
              <w:ind w:firstLine="420" w:firstLineChars="200"/>
              <w:jc w:val="left"/>
              <w:rPr>
                <w:rFonts w:ascii="宋体" w:hAnsi="宋体"/>
                <w:color w:val="auto"/>
                <w:szCs w:val="21"/>
                <w:highlight w:val="none"/>
              </w:rPr>
            </w:pPr>
            <w:r>
              <w:rPr>
                <w:rFonts w:hint="eastAsia" w:ascii="宋体" w:hAnsi="宋体" w:cs="宋体"/>
                <w:bCs/>
                <w:color w:val="auto"/>
                <w:szCs w:val="21"/>
                <w:highlight w:val="none"/>
                <w:lang w:val="en-US" w:eastAsia="zh-CN"/>
              </w:rPr>
              <w:t>参选</w:t>
            </w:r>
            <w:r>
              <w:rPr>
                <w:rFonts w:hint="eastAsia" w:ascii="宋体" w:hAnsi="宋体" w:cs="宋体"/>
                <w:bCs/>
                <w:color w:val="auto"/>
                <w:szCs w:val="21"/>
                <w:highlight w:val="none"/>
              </w:rPr>
              <w:t>人持身份证原件或授权委托书及被授权人身份证原件、</w:t>
            </w:r>
            <w:r>
              <w:rPr>
                <w:rFonts w:hint="eastAsia" w:ascii="宋体" w:hAnsi="宋体" w:cs="宋体"/>
                <w:bCs/>
                <w:color w:val="auto"/>
                <w:szCs w:val="21"/>
                <w:highlight w:val="none"/>
                <w:lang w:val="en-US" w:eastAsia="zh-CN"/>
              </w:rPr>
              <w:t>参选</w:t>
            </w:r>
            <w:r>
              <w:rPr>
                <w:rFonts w:hint="eastAsia" w:ascii="宋体" w:hAnsi="宋体" w:cs="宋体"/>
                <w:bCs/>
                <w:color w:val="auto"/>
                <w:szCs w:val="21"/>
                <w:highlight w:val="none"/>
              </w:rPr>
              <w:t>保证金汇款凭证原件等资料递交</w:t>
            </w:r>
            <w:r>
              <w:rPr>
                <w:rFonts w:hint="eastAsia" w:ascii="宋体" w:hAnsi="宋体" w:cs="宋体"/>
                <w:bCs/>
                <w:color w:val="auto"/>
                <w:szCs w:val="21"/>
                <w:highlight w:val="none"/>
                <w:lang w:val="en-US" w:eastAsia="zh-CN"/>
              </w:rPr>
              <w:t>参选</w:t>
            </w:r>
            <w:r>
              <w:rPr>
                <w:rFonts w:hint="eastAsia" w:ascii="宋体" w:hAnsi="宋体" w:cs="宋体"/>
                <w:bCs/>
                <w:color w:val="auto"/>
                <w:szCs w:val="21"/>
                <w:highlight w:val="none"/>
              </w:rPr>
              <w:t>文件。不符合上述规定的参选文件，</w:t>
            </w:r>
            <w:r>
              <w:rPr>
                <w:rFonts w:hint="eastAsia" w:ascii="宋体" w:hAnsi="宋体" w:cs="宋体"/>
                <w:bCs/>
                <w:color w:val="auto"/>
                <w:szCs w:val="21"/>
                <w:highlight w:val="none"/>
                <w:lang w:val="en-US" w:eastAsia="zh-CN"/>
              </w:rPr>
              <w:t>招选</w:t>
            </w:r>
            <w:r>
              <w:rPr>
                <w:rFonts w:hint="eastAsia" w:ascii="宋体" w:hAnsi="宋体" w:cs="宋体"/>
                <w:bCs/>
                <w:color w:val="auto"/>
                <w:szCs w:val="21"/>
                <w:highlight w:val="none"/>
              </w:rPr>
              <w:t>人不予受理。</w:t>
            </w:r>
            <w:r>
              <w:rPr>
                <w:rFonts w:hint="eastAsia" w:ascii="宋体" w:hAnsi="宋体" w:cs="宋体"/>
                <w:color w:val="auto"/>
                <w:szCs w:val="21"/>
                <w:highlight w:val="none"/>
              </w:rPr>
              <w:t>地点为</w:t>
            </w:r>
            <w:r>
              <w:rPr>
                <w:rFonts w:hint="eastAsia" w:ascii="宋体" w:hAnsi="宋体" w:cs="宋体"/>
                <w:color w:val="auto"/>
                <w:kern w:val="0"/>
                <w:szCs w:val="21"/>
                <w:highlight w:val="none"/>
                <w:u w:val="single"/>
              </w:rPr>
              <w:t>福建省水利水电工程局有限公司四楼</w:t>
            </w:r>
            <w:r>
              <w:rPr>
                <w:rFonts w:hint="eastAsia" w:ascii="宋体" w:hAnsi="宋体" w:cs="宋体"/>
                <w:color w:val="auto"/>
                <w:kern w:val="0"/>
                <w:szCs w:val="21"/>
                <w:highlight w:val="none"/>
                <w:u w:val="single"/>
                <w:lang w:val="en-US" w:eastAsia="zh-CN"/>
              </w:rPr>
              <w:t>407会议</w:t>
            </w:r>
            <w:r>
              <w:rPr>
                <w:rFonts w:hint="eastAsia" w:ascii="宋体" w:hAnsi="宋体" w:cs="宋体"/>
                <w:color w:val="auto"/>
                <w:kern w:val="0"/>
                <w:szCs w:val="21"/>
                <w:highlight w:val="none"/>
                <w:u w:val="single"/>
              </w:rPr>
              <w:t>室（福建省泉州市丰泽区丰惠路87号）</w:t>
            </w:r>
            <w:r>
              <w:rPr>
                <w:rFonts w:hint="eastAsia" w:ascii="宋体" w:hAnsi="宋体" w:cs="宋体"/>
                <w:color w:val="auto"/>
                <w:szCs w:val="21"/>
                <w:highlight w:val="none"/>
                <w:u w:val="single"/>
              </w:rPr>
              <w:t>。</w:t>
            </w:r>
            <w:r>
              <w:rPr>
                <w:rFonts w:hint="eastAsia" w:ascii="宋体" w:hAnsi="宋体"/>
                <w:color w:val="auto"/>
                <w:szCs w:val="21"/>
                <w:highlight w:val="none"/>
              </w:rPr>
              <w:t xml:space="preserve"> </w:t>
            </w:r>
          </w:p>
          <w:p w14:paraId="7352D5C8">
            <w:pPr>
              <w:widowControl/>
              <w:tabs>
                <w:tab w:val="left" w:pos="510"/>
                <w:tab w:val="left" w:pos="900"/>
                <w:tab w:val="left" w:pos="1100"/>
              </w:tabs>
              <w:spacing w:line="240" w:lineRule="auto"/>
              <w:ind w:firstLine="422" w:firstLineChars="200"/>
              <w:jc w:val="left"/>
              <w:rPr>
                <w:rFonts w:ascii="宋体" w:hAnsi="宋体"/>
                <w:b/>
                <w:bCs/>
                <w:color w:val="auto"/>
                <w:szCs w:val="21"/>
                <w:highlight w:val="none"/>
              </w:rPr>
            </w:pPr>
            <w:r>
              <w:rPr>
                <w:rFonts w:hint="eastAsia" w:ascii="宋体" w:hAnsi="宋体"/>
                <w:b/>
                <w:bCs/>
                <w:color w:val="auto"/>
                <w:szCs w:val="21"/>
                <w:highlight w:val="none"/>
              </w:rPr>
              <w:t>提交</w:t>
            </w:r>
            <w:r>
              <w:rPr>
                <w:rFonts w:hint="eastAsia" w:ascii="宋体" w:hAnsi="宋体"/>
                <w:b/>
                <w:bCs/>
                <w:color w:val="auto"/>
                <w:szCs w:val="21"/>
                <w:highlight w:val="none"/>
                <w:lang w:val="en-US" w:eastAsia="zh-CN"/>
              </w:rPr>
              <w:t>参选</w:t>
            </w:r>
            <w:r>
              <w:rPr>
                <w:rFonts w:hint="eastAsia" w:ascii="宋体" w:hAnsi="宋体"/>
                <w:b/>
                <w:bCs/>
                <w:color w:val="auto"/>
                <w:szCs w:val="21"/>
                <w:highlight w:val="none"/>
              </w:rPr>
              <w:t>文件截止时间</w:t>
            </w:r>
            <w:r>
              <w:rPr>
                <w:rFonts w:hint="eastAsia" w:ascii="宋体" w:hAnsi="宋体"/>
                <w:b/>
                <w:bCs/>
                <w:color w:val="auto"/>
                <w:szCs w:val="21"/>
                <w:highlight w:val="none"/>
                <w:lang w:eastAsia="zh-CN"/>
              </w:rPr>
              <w:t>：</w:t>
            </w:r>
            <w:r>
              <w:rPr>
                <w:rFonts w:hint="eastAsia" w:ascii="宋体" w:hAnsi="宋体" w:cs="宋体"/>
                <w:b/>
                <w:bCs/>
                <w:color w:val="auto"/>
                <w:szCs w:val="21"/>
                <w:highlight w:val="none"/>
                <w:u w:val="single"/>
                <w:lang w:val="en-US" w:eastAsia="zh-CN"/>
              </w:rPr>
              <w:t>2026</w:t>
            </w:r>
            <w:r>
              <w:rPr>
                <w:rFonts w:hint="eastAsia" w:ascii="宋体" w:hAnsi="宋体" w:cs="宋体"/>
                <w:b/>
                <w:bCs/>
                <w:color w:val="auto"/>
                <w:szCs w:val="21"/>
                <w:highlight w:val="none"/>
              </w:rPr>
              <w:t>年</w:t>
            </w:r>
            <w:r>
              <w:rPr>
                <w:rFonts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8</w:t>
            </w:r>
            <w:r>
              <w:rPr>
                <w:rFonts w:hint="eastAsia" w:ascii="宋体" w:hAnsi="宋体" w:cs="宋体"/>
                <w:b/>
                <w:bCs/>
                <w:color w:val="auto"/>
                <w:szCs w:val="21"/>
                <w:highlight w:val="none"/>
              </w:rPr>
              <w:t>月</w:t>
            </w:r>
            <w:r>
              <w:rPr>
                <w:rFonts w:hint="eastAsia" w:ascii="宋体" w:hAnsi="宋体" w:cs="宋体"/>
                <w:b/>
                <w:bCs/>
                <w:color w:val="auto"/>
                <w:szCs w:val="21"/>
                <w:highlight w:val="none"/>
                <w:u w:val="single"/>
                <w:lang w:val="en-US" w:eastAsia="zh-CN"/>
              </w:rPr>
              <w:t xml:space="preserve"> 7</w:t>
            </w:r>
            <w:r>
              <w:rPr>
                <w:rFonts w:hint="eastAsia" w:ascii="宋体" w:hAnsi="宋体" w:cs="宋体"/>
                <w:b/>
                <w:bCs/>
                <w:color w:val="auto"/>
                <w:szCs w:val="21"/>
                <w:highlight w:val="none"/>
              </w:rPr>
              <w:t>日</w:t>
            </w:r>
            <w:r>
              <w:rPr>
                <w:rFonts w:hint="eastAsia" w:ascii="宋体" w:hAnsi="宋体" w:cs="宋体"/>
                <w:b/>
                <w:bCs/>
                <w:color w:val="auto"/>
                <w:szCs w:val="21"/>
                <w:highlight w:val="none"/>
                <w:u w:val="single"/>
                <w:lang w:eastAsia="zh-CN"/>
              </w:rPr>
              <w:t>16</w:t>
            </w:r>
            <w:r>
              <w:rPr>
                <w:rFonts w:hint="eastAsia" w:ascii="宋体" w:hAnsi="宋体" w:cs="宋体"/>
                <w:b/>
                <w:bCs/>
                <w:color w:val="auto"/>
                <w:szCs w:val="21"/>
                <w:highlight w:val="none"/>
                <w:lang w:eastAsia="zh-CN"/>
              </w:rPr>
              <w:t>时</w:t>
            </w:r>
            <w:r>
              <w:rPr>
                <w:rFonts w:hint="eastAsia" w:ascii="宋体" w:hAnsi="宋体" w:cs="宋体"/>
                <w:b/>
                <w:bCs/>
                <w:color w:val="auto"/>
                <w:szCs w:val="21"/>
                <w:highlight w:val="none"/>
                <w:u w:val="single"/>
                <w:lang w:eastAsia="zh-CN"/>
              </w:rPr>
              <w:t>30</w:t>
            </w:r>
            <w:r>
              <w:rPr>
                <w:rFonts w:hint="eastAsia" w:ascii="宋体" w:hAnsi="宋体" w:cs="宋体"/>
                <w:b/>
                <w:bCs/>
                <w:color w:val="auto"/>
                <w:szCs w:val="21"/>
                <w:highlight w:val="none"/>
                <w:u w:val="none"/>
              </w:rPr>
              <w:t>分</w:t>
            </w:r>
            <w:r>
              <w:rPr>
                <w:rFonts w:hint="eastAsia" w:ascii="宋体" w:hAnsi="宋体" w:cs="宋体"/>
                <w:b/>
                <w:bCs/>
                <w:color w:val="auto"/>
                <w:szCs w:val="21"/>
                <w:highlight w:val="none"/>
              </w:rPr>
              <w:t>（若有变动，以电话通知为准）。</w:t>
            </w:r>
          </w:p>
        </w:tc>
      </w:tr>
      <w:tr w14:paraId="5C1521C6">
        <w:tblPrEx>
          <w:tblCellMar>
            <w:top w:w="0" w:type="dxa"/>
            <w:left w:w="108" w:type="dxa"/>
            <w:bottom w:w="0" w:type="dxa"/>
            <w:right w:w="108" w:type="dxa"/>
          </w:tblCellMar>
        </w:tblPrEx>
        <w:trPr>
          <w:trHeight w:val="880" w:hRule="atLeast"/>
        </w:trPr>
        <w:tc>
          <w:tcPr>
            <w:tcW w:w="746" w:type="dxa"/>
            <w:tcBorders>
              <w:top w:val="single" w:color="auto" w:sz="4" w:space="0"/>
              <w:left w:val="single" w:color="auto" w:sz="4" w:space="0"/>
              <w:bottom w:val="single" w:color="auto" w:sz="4" w:space="0"/>
              <w:right w:val="single" w:color="auto" w:sz="4" w:space="0"/>
            </w:tcBorders>
            <w:vAlign w:val="center"/>
          </w:tcPr>
          <w:p w14:paraId="095DC16B">
            <w:pPr>
              <w:spacing w:line="420" w:lineRule="exact"/>
              <w:jc w:val="center"/>
              <w:rPr>
                <w:rFonts w:ascii="宋体" w:hAnsi="宋体" w:cs="宋体"/>
                <w:color w:val="auto"/>
                <w:szCs w:val="21"/>
                <w:highlight w:val="none"/>
              </w:rPr>
            </w:pPr>
            <w:r>
              <w:rPr>
                <w:rFonts w:ascii="宋体" w:hAnsi="宋体" w:cs="宋体"/>
                <w:color w:val="auto"/>
                <w:szCs w:val="21"/>
                <w:highlight w:val="none"/>
              </w:rPr>
              <w:t>16</w:t>
            </w:r>
          </w:p>
        </w:tc>
        <w:tc>
          <w:tcPr>
            <w:tcW w:w="1774" w:type="dxa"/>
            <w:tcBorders>
              <w:top w:val="single" w:color="auto" w:sz="4" w:space="0"/>
              <w:left w:val="single" w:color="auto" w:sz="4" w:space="0"/>
              <w:bottom w:val="single" w:color="auto" w:sz="4" w:space="0"/>
              <w:right w:val="single" w:color="auto" w:sz="4" w:space="0"/>
            </w:tcBorders>
            <w:vAlign w:val="center"/>
          </w:tcPr>
          <w:p w14:paraId="2693D86C">
            <w:pPr>
              <w:spacing w:line="42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参选</w:t>
            </w:r>
            <w:r>
              <w:rPr>
                <w:rFonts w:hint="eastAsia" w:ascii="宋体" w:hAnsi="宋体" w:cs="宋体"/>
                <w:color w:val="auto"/>
                <w:szCs w:val="21"/>
                <w:highlight w:val="none"/>
              </w:rPr>
              <w:t>时间和地点</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70B10A30">
            <w:pPr>
              <w:widowControl/>
              <w:shd w:val="clear" w:color="auto" w:fill="FFFFFF"/>
              <w:snapToGrid w:val="0"/>
              <w:ind w:firstLine="422" w:firstLineChars="200"/>
              <w:jc w:val="left"/>
              <w:rPr>
                <w:color w:val="auto"/>
                <w:szCs w:val="21"/>
                <w:highlight w:val="none"/>
              </w:rPr>
            </w:pPr>
            <w:r>
              <w:rPr>
                <w:rFonts w:hint="eastAsia" w:ascii="宋体" w:hAnsi="宋体" w:cs="宋体"/>
                <w:b/>
                <w:bCs/>
                <w:color w:val="auto"/>
                <w:szCs w:val="21"/>
                <w:highlight w:val="none"/>
                <w:lang w:val="en-US" w:eastAsia="zh-CN"/>
              </w:rPr>
              <w:t>评选</w:t>
            </w:r>
            <w:r>
              <w:rPr>
                <w:rFonts w:hint="eastAsia" w:ascii="宋体" w:hAnsi="宋体" w:cs="宋体"/>
                <w:b/>
                <w:bCs/>
                <w:color w:val="auto"/>
                <w:szCs w:val="21"/>
                <w:highlight w:val="none"/>
              </w:rPr>
              <w:t>时间</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u w:val="single"/>
                <w:lang w:val="en-US" w:eastAsia="zh-CN"/>
              </w:rPr>
              <w:t>2026</w:t>
            </w:r>
            <w:r>
              <w:rPr>
                <w:rFonts w:hint="eastAsia" w:ascii="宋体" w:hAnsi="宋体" w:cs="宋体"/>
                <w:b/>
                <w:bCs/>
                <w:color w:val="auto"/>
                <w:szCs w:val="21"/>
                <w:highlight w:val="none"/>
              </w:rPr>
              <w:t>年</w:t>
            </w:r>
            <w:r>
              <w:rPr>
                <w:rFonts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8</w:t>
            </w:r>
            <w:r>
              <w:rPr>
                <w:rFonts w:hint="eastAsia" w:ascii="宋体" w:hAnsi="宋体" w:cs="宋体"/>
                <w:b/>
                <w:bCs/>
                <w:color w:val="auto"/>
                <w:szCs w:val="21"/>
                <w:highlight w:val="none"/>
              </w:rPr>
              <w:t>月</w:t>
            </w:r>
            <w:r>
              <w:rPr>
                <w:rFonts w:hint="eastAsia" w:ascii="宋体" w:hAnsi="宋体" w:cs="宋体"/>
                <w:b/>
                <w:bCs/>
                <w:color w:val="auto"/>
                <w:szCs w:val="21"/>
                <w:highlight w:val="none"/>
                <w:u w:val="single"/>
                <w:lang w:val="en-US" w:eastAsia="zh-CN"/>
              </w:rPr>
              <w:t xml:space="preserve"> 7</w:t>
            </w:r>
            <w:r>
              <w:rPr>
                <w:rFonts w:hint="eastAsia" w:ascii="宋体" w:hAnsi="宋体" w:cs="宋体"/>
                <w:b/>
                <w:bCs/>
                <w:color w:val="auto"/>
                <w:szCs w:val="21"/>
                <w:highlight w:val="none"/>
              </w:rPr>
              <w:t>日</w:t>
            </w:r>
            <w:r>
              <w:rPr>
                <w:rFonts w:hint="eastAsia" w:ascii="宋体" w:hAnsi="宋体" w:cs="宋体"/>
                <w:b/>
                <w:bCs/>
                <w:color w:val="auto"/>
                <w:szCs w:val="21"/>
                <w:highlight w:val="none"/>
                <w:u w:val="single"/>
                <w:lang w:eastAsia="zh-CN"/>
              </w:rPr>
              <w:t>16</w:t>
            </w:r>
            <w:r>
              <w:rPr>
                <w:rFonts w:hint="eastAsia" w:ascii="宋体" w:hAnsi="宋体" w:cs="宋体"/>
                <w:b/>
                <w:bCs/>
                <w:color w:val="auto"/>
                <w:szCs w:val="21"/>
                <w:highlight w:val="none"/>
                <w:lang w:eastAsia="zh-CN"/>
              </w:rPr>
              <w:t>时</w:t>
            </w:r>
            <w:r>
              <w:rPr>
                <w:rFonts w:hint="eastAsia" w:ascii="宋体" w:hAnsi="宋体" w:cs="宋体"/>
                <w:b/>
                <w:bCs/>
                <w:color w:val="auto"/>
                <w:szCs w:val="21"/>
                <w:highlight w:val="none"/>
                <w:u w:val="single"/>
                <w:lang w:eastAsia="zh-CN"/>
              </w:rPr>
              <w:t>30</w:t>
            </w:r>
            <w:r>
              <w:rPr>
                <w:rFonts w:hint="eastAsia" w:ascii="宋体" w:hAnsi="宋体" w:cs="宋体"/>
                <w:b/>
                <w:bCs/>
                <w:color w:val="auto"/>
                <w:szCs w:val="21"/>
                <w:highlight w:val="none"/>
                <w:u w:val="none"/>
              </w:rPr>
              <w:t>分</w:t>
            </w:r>
            <w:r>
              <w:rPr>
                <w:rFonts w:hint="eastAsia" w:ascii="宋体" w:hAnsi="宋体" w:cs="宋体"/>
                <w:b/>
                <w:bCs/>
                <w:color w:val="auto"/>
                <w:szCs w:val="21"/>
                <w:highlight w:val="none"/>
              </w:rPr>
              <w:t>（若有变动，以电话通知为准）。地点为</w:t>
            </w:r>
            <w:r>
              <w:rPr>
                <w:rFonts w:hint="eastAsia" w:ascii="宋体" w:hAnsi="宋体" w:cs="宋体"/>
                <w:b/>
                <w:bCs/>
                <w:color w:val="auto"/>
                <w:kern w:val="0"/>
                <w:szCs w:val="21"/>
                <w:highlight w:val="none"/>
                <w:u w:val="single"/>
              </w:rPr>
              <w:t>福建省水利水电工程局有限公司四楼</w:t>
            </w:r>
            <w:r>
              <w:rPr>
                <w:rFonts w:hint="eastAsia" w:ascii="宋体" w:hAnsi="宋体" w:cs="宋体"/>
                <w:b/>
                <w:bCs/>
                <w:color w:val="auto"/>
                <w:kern w:val="0"/>
                <w:szCs w:val="21"/>
                <w:highlight w:val="none"/>
                <w:u w:val="single"/>
                <w:lang w:val="en-US" w:eastAsia="zh-CN"/>
              </w:rPr>
              <w:t>407</w:t>
            </w:r>
            <w:r>
              <w:rPr>
                <w:rFonts w:hint="eastAsia" w:ascii="宋体" w:hAnsi="宋体" w:cs="宋体"/>
                <w:b/>
                <w:bCs/>
                <w:color w:val="auto"/>
                <w:kern w:val="0"/>
                <w:szCs w:val="21"/>
                <w:highlight w:val="none"/>
                <w:u w:val="single"/>
              </w:rPr>
              <w:t>会议室（福建省泉州市丰泽区丰惠路87号）。</w:t>
            </w:r>
          </w:p>
        </w:tc>
      </w:tr>
      <w:tr w14:paraId="5423C064">
        <w:tblPrEx>
          <w:tblCellMar>
            <w:top w:w="0" w:type="dxa"/>
            <w:left w:w="108" w:type="dxa"/>
            <w:bottom w:w="0" w:type="dxa"/>
            <w:right w:w="108" w:type="dxa"/>
          </w:tblCellMar>
        </w:tblPrEx>
        <w:trPr>
          <w:trHeight w:val="416" w:hRule="atLeast"/>
        </w:trPr>
        <w:tc>
          <w:tcPr>
            <w:tcW w:w="746" w:type="dxa"/>
            <w:tcBorders>
              <w:top w:val="single" w:color="auto" w:sz="4" w:space="0"/>
              <w:left w:val="single" w:color="auto" w:sz="4" w:space="0"/>
              <w:bottom w:val="single" w:color="auto" w:sz="4" w:space="0"/>
              <w:right w:val="single" w:color="auto" w:sz="4" w:space="0"/>
            </w:tcBorders>
            <w:vAlign w:val="center"/>
          </w:tcPr>
          <w:p w14:paraId="6EC10BFE">
            <w:pPr>
              <w:spacing w:line="420" w:lineRule="exact"/>
              <w:jc w:val="center"/>
              <w:rPr>
                <w:rFonts w:ascii="宋体" w:hAnsi="宋体" w:cs="宋体"/>
                <w:color w:val="auto"/>
                <w:szCs w:val="21"/>
                <w:highlight w:val="none"/>
              </w:rPr>
            </w:pPr>
            <w:r>
              <w:rPr>
                <w:rFonts w:ascii="宋体" w:hAnsi="宋体" w:cs="宋体"/>
                <w:color w:val="auto"/>
                <w:szCs w:val="21"/>
                <w:highlight w:val="none"/>
              </w:rPr>
              <w:t>17</w:t>
            </w:r>
          </w:p>
        </w:tc>
        <w:tc>
          <w:tcPr>
            <w:tcW w:w="1774" w:type="dxa"/>
            <w:tcBorders>
              <w:top w:val="single" w:color="auto" w:sz="4" w:space="0"/>
              <w:left w:val="single" w:color="auto" w:sz="4" w:space="0"/>
              <w:bottom w:val="single" w:color="auto" w:sz="4" w:space="0"/>
              <w:right w:val="single" w:color="auto" w:sz="4" w:space="0"/>
            </w:tcBorders>
            <w:vAlign w:val="center"/>
          </w:tcPr>
          <w:p w14:paraId="022322E8">
            <w:pPr>
              <w:spacing w:line="42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评选</w:t>
            </w:r>
            <w:r>
              <w:rPr>
                <w:rFonts w:hint="eastAsia" w:ascii="宋体" w:hAnsi="宋体" w:cs="宋体"/>
                <w:color w:val="auto"/>
                <w:szCs w:val="21"/>
                <w:highlight w:val="none"/>
              </w:rPr>
              <w:t>程序</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7345C416">
            <w:pPr>
              <w:spacing w:line="240" w:lineRule="auto"/>
              <w:rPr>
                <w:rFonts w:ascii="宋体" w:hAnsi="宋体" w:cs="宋体"/>
                <w:color w:val="auto"/>
                <w:szCs w:val="21"/>
                <w:highlight w:val="none"/>
              </w:rPr>
            </w:pPr>
            <w:r>
              <w:rPr>
                <w:rFonts w:hint="eastAsia" w:ascii="宋体" w:hAnsi="宋体" w:cs="宋体"/>
                <w:color w:val="auto"/>
                <w:szCs w:val="21"/>
                <w:highlight w:val="none"/>
              </w:rPr>
              <w:t>详见评</w:t>
            </w:r>
            <w:r>
              <w:rPr>
                <w:rFonts w:hint="eastAsia" w:ascii="宋体" w:hAnsi="宋体" w:cs="宋体"/>
                <w:color w:val="auto"/>
                <w:szCs w:val="21"/>
                <w:highlight w:val="none"/>
                <w:lang w:val="en-US" w:eastAsia="zh-CN"/>
              </w:rPr>
              <w:t>选</w:t>
            </w:r>
            <w:r>
              <w:rPr>
                <w:rFonts w:hint="eastAsia" w:ascii="宋体" w:hAnsi="宋体" w:cs="宋体"/>
                <w:color w:val="auto"/>
                <w:szCs w:val="21"/>
                <w:highlight w:val="none"/>
              </w:rPr>
              <w:t>办法</w:t>
            </w:r>
          </w:p>
        </w:tc>
      </w:tr>
      <w:tr w14:paraId="43083B26">
        <w:tblPrEx>
          <w:tblCellMar>
            <w:top w:w="0" w:type="dxa"/>
            <w:left w:w="108" w:type="dxa"/>
            <w:bottom w:w="0" w:type="dxa"/>
            <w:right w:w="108" w:type="dxa"/>
          </w:tblCellMar>
        </w:tblPrEx>
        <w:trPr>
          <w:trHeight w:val="416" w:hRule="atLeast"/>
        </w:trPr>
        <w:tc>
          <w:tcPr>
            <w:tcW w:w="746" w:type="dxa"/>
            <w:tcBorders>
              <w:top w:val="single" w:color="auto" w:sz="4" w:space="0"/>
              <w:left w:val="single" w:color="auto" w:sz="4" w:space="0"/>
              <w:bottom w:val="single" w:color="auto" w:sz="4" w:space="0"/>
              <w:right w:val="single" w:color="auto" w:sz="4" w:space="0"/>
            </w:tcBorders>
            <w:vAlign w:val="center"/>
          </w:tcPr>
          <w:p w14:paraId="22DF9E04">
            <w:pPr>
              <w:spacing w:line="420" w:lineRule="exact"/>
              <w:jc w:val="center"/>
              <w:rPr>
                <w:rFonts w:ascii="宋体" w:hAnsi="宋体" w:cs="宋体"/>
                <w:color w:val="auto"/>
                <w:szCs w:val="21"/>
                <w:highlight w:val="none"/>
              </w:rPr>
            </w:pPr>
            <w:r>
              <w:rPr>
                <w:rFonts w:ascii="宋体" w:hAnsi="宋体" w:cs="宋体"/>
                <w:color w:val="auto"/>
                <w:szCs w:val="21"/>
                <w:highlight w:val="none"/>
              </w:rPr>
              <w:t>18</w:t>
            </w:r>
          </w:p>
        </w:tc>
        <w:tc>
          <w:tcPr>
            <w:tcW w:w="1774" w:type="dxa"/>
            <w:tcBorders>
              <w:top w:val="single" w:color="auto" w:sz="4" w:space="0"/>
              <w:left w:val="single" w:color="auto" w:sz="4" w:space="0"/>
              <w:bottom w:val="single" w:color="auto" w:sz="4" w:space="0"/>
              <w:right w:val="single" w:color="auto" w:sz="4" w:space="0"/>
            </w:tcBorders>
            <w:vAlign w:val="center"/>
          </w:tcPr>
          <w:p w14:paraId="25CB6CE6">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评审小组的组建</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3BBE0EB5">
            <w:pPr>
              <w:spacing w:line="240" w:lineRule="auto"/>
              <w:rPr>
                <w:rFonts w:ascii="宋体" w:hAnsi="宋体" w:cs="宋体"/>
                <w:color w:val="auto"/>
                <w:szCs w:val="21"/>
                <w:highlight w:val="none"/>
              </w:rPr>
            </w:pPr>
            <w:r>
              <w:rPr>
                <w:rFonts w:hint="eastAsia" w:ascii="宋体" w:hAnsi="宋体" w:cs="宋体"/>
                <w:color w:val="auto"/>
                <w:szCs w:val="21"/>
                <w:highlight w:val="none"/>
              </w:rPr>
              <w:t>评审小组由公司工程管理与法务部、市场发展部等有关人员共5人组成。公司</w:t>
            </w:r>
            <w:r>
              <w:rPr>
                <w:rFonts w:hint="eastAsia" w:ascii="宋体" w:hAnsi="宋体" w:cs="宋体"/>
                <w:color w:val="auto"/>
                <w:szCs w:val="21"/>
                <w:highlight w:val="none"/>
                <w:lang w:val="en-US" w:eastAsia="zh-CN"/>
              </w:rPr>
              <w:t>审计部</w:t>
            </w:r>
            <w:r>
              <w:rPr>
                <w:rFonts w:hint="eastAsia" w:ascii="宋体" w:hAnsi="宋体" w:cs="宋体"/>
                <w:color w:val="auto"/>
                <w:szCs w:val="21"/>
                <w:highlight w:val="none"/>
              </w:rPr>
              <w:t>作为此次</w:t>
            </w:r>
            <w:r>
              <w:rPr>
                <w:rFonts w:hint="eastAsia" w:ascii="宋体" w:hAnsi="宋体" w:cs="宋体"/>
                <w:color w:val="auto"/>
                <w:szCs w:val="21"/>
                <w:highlight w:val="none"/>
                <w:lang w:val="en-US" w:eastAsia="zh-CN"/>
              </w:rPr>
              <w:t>招选</w:t>
            </w:r>
            <w:r>
              <w:rPr>
                <w:rFonts w:hint="eastAsia" w:ascii="宋体" w:hAnsi="宋体" w:cs="宋体"/>
                <w:color w:val="auto"/>
                <w:szCs w:val="21"/>
                <w:highlight w:val="none"/>
              </w:rPr>
              <w:t>活动的监督部门参加。</w:t>
            </w:r>
          </w:p>
        </w:tc>
      </w:tr>
      <w:tr w14:paraId="55291C76">
        <w:tblPrEx>
          <w:tblCellMar>
            <w:top w:w="0" w:type="dxa"/>
            <w:left w:w="108" w:type="dxa"/>
            <w:bottom w:w="0" w:type="dxa"/>
            <w:right w:w="108" w:type="dxa"/>
          </w:tblCellMar>
        </w:tblPrEx>
        <w:trPr>
          <w:trHeight w:val="416" w:hRule="atLeast"/>
        </w:trPr>
        <w:tc>
          <w:tcPr>
            <w:tcW w:w="746" w:type="dxa"/>
            <w:tcBorders>
              <w:top w:val="single" w:color="auto" w:sz="4" w:space="0"/>
              <w:left w:val="single" w:color="auto" w:sz="4" w:space="0"/>
              <w:bottom w:val="single" w:color="auto" w:sz="4" w:space="0"/>
              <w:right w:val="single" w:color="auto" w:sz="4" w:space="0"/>
            </w:tcBorders>
            <w:vAlign w:val="center"/>
          </w:tcPr>
          <w:p w14:paraId="01F9DA3D">
            <w:pPr>
              <w:spacing w:line="420" w:lineRule="exact"/>
              <w:jc w:val="center"/>
              <w:rPr>
                <w:rFonts w:ascii="宋体" w:hAnsi="宋体" w:cs="宋体"/>
                <w:color w:val="auto"/>
                <w:szCs w:val="21"/>
                <w:highlight w:val="none"/>
              </w:rPr>
            </w:pPr>
            <w:r>
              <w:rPr>
                <w:rFonts w:ascii="宋体" w:hAnsi="宋体" w:cs="宋体"/>
                <w:color w:val="auto"/>
                <w:szCs w:val="21"/>
                <w:highlight w:val="none"/>
              </w:rPr>
              <w:t>19</w:t>
            </w:r>
          </w:p>
        </w:tc>
        <w:tc>
          <w:tcPr>
            <w:tcW w:w="1774" w:type="dxa"/>
            <w:tcBorders>
              <w:top w:val="single" w:color="auto" w:sz="4" w:space="0"/>
              <w:left w:val="single" w:color="auto" w:sz="4" w:space="0"/>
              <w:bottom w:val="single" w:color="auto" w:sz="4" w:space="0"/>
              <w:right w:val="single" w:color="auto" w:sz="4" w:space="0"/>
            </w:tcBorders>
            <w:vAlign w:val="center"/>
          </w:tcPr>
          <w:p w14:paraId="57BA743E">
            <w:pPr>
              <w:jc w:val="center"/>
              <w:rPr>
                <w:rFonts w:ascii="宋体" w:hAnsi="宋体" w:cs="宋体"/>
                <w:color w:val="auto"/>
                <w:szCs w:val="21"/>
                <w:highlight w:val="none"/>
              </w:rPr>
            </w:pPr>
            <w:r>
              <w:rPr>
                <w:rFonts w:hint="eastAsia" w:ascii="宋体" w:hAnsi="宋体" w:cs="宋体"/>
                <w:color w:val="auto"/>
                <w:szCs w:val="21"/>
                <w:highlight w:val="none"/>
              </w:rPr>
              <w:t>履约担保</w:t>
            </w:r>
          </w:p>
        </w:tc>
        <w:tc>
          <w:tcPr>
            <w:tcW w:w="6306" w:type="dxa"/>
            <w:gridSpan w:val="2"/>
            <w:tcBorders>
              <w:top w:val="single" w:color="auto" w:sz="4" w:space="0"/>
              <w:left w:val="single" w:color="auto" w:sz="4" w:space="0"/>
              <w:bottom w:val="single" w:color="auto" w:sz="4" w:space="0"/>
              <w:right w:val="single" w:color="auto" w:sz="4" w:space="0"/>
            </w:tcBorders>
            <w:vAlign w:val="center"/>
          </w:tcPr>
          <w:p w14:paraId="609C3894">
            <w:pPr>
              <w:pStyle w:val="27"/>
              <w:rPr>
                <w:b/>
                <w:bCs/>
                <w:color w:val="auto"/>
                <w:sz w:val="21"/>
                <w:szCs w:val="21"/>
                <w:highlight w:val="none"/>
              </w:rPr>
            </w:pPr>
            <w:bookmarkStart w:id="144" w:name="_Toc221950082"/>
            <w:r>
              <w:rPr>
                <w:rFonts w:hint="eastAsia"/>
                <w:b/>
                <w:bCs/>
                <w:color w:val="auto"/>
                <w:sz w:val="21"/>
                <w:szCs w:val="21"/>
                <w:highlight w:val="none"/>
              </w:rPr>
              <w:t>履约担保：</w:t>
            </w:r>
            <w:bookmarkEnd w:id="144"/>
            <w:r>
              <w:rPr>
                <w:rFonts w:hint="eastAsia"/>
                <w:b/>
                <w:bCs/>
                <w:color w:val="auto"/>
                <w:sz w:val="21"/>
                <w:szCs w:val="21"/>
                <w:highlight w:val="none"/>
              </w:rPr>
              <w:t>采用银行汇款或银行履约保函方式，人民币壹佰万元整。</w:t>
            </w:r>
            <w:r>
              <w:rPr>
                <w:rFonts w:hint="eastAsia"/>
                <w:color w:val="auto"/>
                <w:sz w:val="21"/>
                <w:szCs w:val="21"/>
                <w:highlight w:val="none"/>
              </w:rPr>
              <w:t>中选后，</w:t>
            </w:r>
            <w:r>
              <w:rPr>
                <w:rFonts w:hint="eastAsia"/>
                <w:color w:val="auto"/>
                <w:sz w:val="21"/>
                <w:szCs w:val="21"/>
                <w:highlight w:val="none"/>
                <w:lang w:val="en-US" w:eastAsia="zh-CN"/>
              </w:rPr>
              <w:t>中选</w:t>
            </w:r>
            <w:r>
              <w:rPr>
                <w:rFonts w:hint="eastAsia"/>
                <w:color w:val="auto"/>
                <w:sz w:val="21"/>
                <w:szCs w:val="21"/>
                <w:highlight w:val="none"/>
              </w:rPr>
              <w:t>人</w:t>
            </w:r>
            <w:r>
              <w:rPr>
                <w:rFonts w:hint="eastAsia"/>
                <w:color w:val="auto"/>
                <w:sz w:val="21"/>
                <w:szCs w:val="21"/>
                <w:highlight w:val="none"/>
                <w:lang w:val="en-US" w:eastAsia="zh-CN"/>
              </w:rPr>
              <w:t>参选</w:t>
            </w:r>
            <w:r>
              <w:rPr>
                <w:rFonts w:hint="eastAsia"/>
                <w:color w:val="auto"/>
                <w:sz w:val="21"/>
                <w:szCs w:val="21"/>
                <w:highlight w:val="none"/>
              </w:rPr>
              <w:t>保证金可直接转为履约保证金，不足</w:t>
            </w:r>
            <w:r>
              <w:rPr>
                <w:rFonts w:hint="eastAsia"/>
                <w:color w:val="auto"/>
                <w:sz w:val="21"/>
                <w:szCs w:val="21"/>
                <w:highlight w:val="none"/>
                <w:lang w:eastAsia="zh-CN"/>
              </w:rPr>
              <w:t>部分</w:t>
            </w:r>
            <w:r>
              <w:rPr>
                <w:rFonts w:hint="eastAsia"/>
                <w:color w:val="auto"/>
                <w:sz w:val="21"/>
                <w:szCs w:val="21"/>
                <w:highlight w:val="none"/>
              </w:rPr>
              <w:t>在</w:t>
            </w:r>
            <w:r>
              <w:rPr>
                <w:rFonts w:hint="eastAsia"/>
                <w:color w:val="auto"/>
                <w:sz w:val="21"/>
                <w:szCs w:val="21"/>
                <w:highlight w:val="none"/>
                <w:lang w:val="en-US" w:eastAsia="zh-CN"/>
              </w:rPr>
              <w:t>参选</w:t>
            </w:r>
            <w:r>
              <w:rPr>
                <w:rFonts w:hint="eastAsia"/>
                <w:color w:val="auto"/>
                <w:sz w:val="21"/>
                <w:szCs w:val="21"/>
                <w:highlight w:val="none"/>
              </w:rPr>
              <w:t>人接到招</w:t>
            </w:r>
            <w:r>
              <w:rPr>
                <w:rFonts w:hint="eastAsia"/>
                <w:color w:val="auto"/>
                <w:sz w:val="21"/>
                <w:szCs w:val="21"/>
                <w:highlight w:val="none"/>
                <w:lang w:val="en-US" w:eastAsia="zh-CN"/>
              </w:rPr>
              <w:t>选</w:t>
            </w:r>
            <w:r>
              <w:rPr>
                <w:rFonts w:hint="eastAsia"/>
                <w:color w:val="auto"/>
                <w:sz w:val="21"/>
                <w:szCs w:val="21"/>
                <w:highlight w:val="none"/>
              </w:rPr>
              <w:t>人发出的</w:t>
            </w:r>
            <w:r>
              <w:rPr>
                <w:rFonts w:hint="eastAsia"/>
                <w:color w:val="auto"/>
                <w:sz w:val="21"/>
                <w:szCs w:val="21"/>
                <w:highlight w:val="none"/>
                <w:lang w:val="en-US" w:eastAsia="zh-CN"/>
              </w:rPr>
              <w:t>中选</w:t>
            </w:r>
            <w:r>
              <w:rPr>
                <w:rFonts w:hint="eastAsia"/>
                <w:color w:val="auto"/>
                <w:sz w:val="21"/>
                <w:szCs w:val="21"/>
                <w:highlight w:val="none"/>
              </w:rPr>
              <w:t>通知书后</w:t>
            </w:r>
            <w:r>
              <w:rPr>
                <w:color w:val="auto"/>
                <w:sz w:val="21"/>
                <w:szCs w:val="21"/>
                <w:highlight w:val="none"/>
              </w:rPr>
              <w:t>7</w:t>
            </w:r>
            <w:r>
              <w:rPr>
                <w:rFonts w:hint="eastAsia"/>
                <w:color w:val="auto"/>
                <w:sz w:val="21"/>
                <w:szCs w:val="21"/>
                <w:highlight w:val="none"/>
              </w:rPr>
              <w:t>天内转账至指定账户。中</w:t>
            </w:r>
            <w:r>
              <w:rPr>
                <w:rFonts w:hint="eastAsia"/>
                <w:color w:val="auto"/>
                <w:sz w:val="21"/>
                <w:szCs w:val="21"/>
                <w:highlight w:val="none"/>
                <w:lang w:val="en-US" w:eastAsia="zh-CN"/>
              </w:rPr>
              <w:t>选</w:t>
            </w:r>
            <w:r>
              <w:rPr>
                <w:rFonts w:hint="eastAsia"/>
                <w:color w:val="auto"/>
                <w:sz w:val="21"/>
                <w:szCs w:val="21"/>
                <w:highlight w:val="none"/>
              </w:rPr>
              <w:t>人未按要求时间提交足额的履约保证金时，视为放弃中</w:t>
            </w:r>
            <w:r>
              <w:rPr>
                <w:rFonts w:hint="eastAsia"/>
                <w:color w:val="auto"/>
                <w:sz w:val="21"/>
                <w:szCs w:val="21"/>
                <w:highlight w:val="none"/>
                <w:lang w:val="en-US" w:eastAsia="zh-CN"/>
              </w:rPr>
              <w:t>选</w:t>
            </w:r>
            <w:r>
              <w:rPr>
                <w:rFonts w:hint="eastAsia"/>
                <w:color w:val="auto"/>
                <w:sz w:val="21"/>
                <w:szCs w:val="21"/>
                <w:highlight w:val="none"/>
              </w:rPr>
              <w:t>资格。</w:t>
            </w:r>
          </w:p>
        </w:tc>
      </w:tr>
      <w:tr w14:paraId="4C3165B7">
        <w:tblPrEx>
          <w:tblCellMar>
            <w:top w:w="0" w:type="dxa"/>
            <w:left w:w="108" w:type="dxa"/>
            <w:bottom w:w="0" w:type="dxa"/>
            <w:right w:w="108" w:type="dxa"/>
          </w:tblCellMar>
        </w:tblPrEx>
        <w:trPr>
          <w:trHeight w:val="470" w:hRule="atLeast"/>
        </w:trPr>
        <w:tc>
          <w:tcPr>
            <w:tcW w:w="746" w:type="dxa"/>
            <w:tcBorders>
              <w:top w:val="single" w:color="auto" w:sz="4" w:space="0"/>
              <w:left w:val="single" w:color="auto" w:sz="4" w:space="0"/>
              <w:bottom w:val="single" w:color="auto" w:sz="4" w:space="0"/>
              <w:right w:val="single" w:color="auto" w:sz="4" w:space="0"/>
            </w:tcBorders>
            <w:vAlign w:val="center"/>
          </w:tcPr>
          <w:p w14:paraId="1289A2EE">
            <w:pPr>
              <w:spacing w:line="420" w:lineRule="exact"/>
              <w:jc w:val="center"/>
              <w:rPr>
                <w:rFonts w:ascii="宋体" w:hAnsi="宋体" w:cs="宋体"/>
                <w:color w:val="auto"/>
                <w:szCs w:val="21"/>
                <w:highlight w:val="none"/>
              </w:rPr>
            </w:pPr>
            <w:r>
              <w:rPr>
                <w:rFonts w:ascii="宋体" w:hAnsi="宋体" w:cs="宋体"/>
                <w:color w:val="auto"/>
                <w:szCs w:val="21"/>
                <w:highlight w:val="none"/>
              </w:rPr>
              <w:t>20</w:t>
            </w:r>
          </w:p>
        </w:tc>
        <w:tc>
          <w:tcPr>
            <w:tcW w:w="8080" w:type="dxa"/>
            <w:gridSpan w:val="3"/>
            <w:tcBorders>
              <w:top w:val="single" w:color="auto" w:sz="4" w:space="0"/>
              <w:left w:val="single" w:color="auto" w:sz="4" w:space="0"/>
              <w:bottom w:val="single" w:color="auto" w:sz="4" w:space="0"/>
              <w:right w:val="single" w:color="auto" w:sz="4" w:space="0"/>
            </w:tcBorders>
            <w:vAlign w:val="center"/>
          </w:tcPr>
          <w:p w14:paraId="4E6D184B">
            <w:pPr>
              <w:spacing w:line="420" w:lineRule="exact"/>
              <w:jc w:val="center"/>
              <w:rPr>
                <w:rFonts w:ascii="宋体" w:hAnsi="宋体" w:cs="宋体"/>
                <w:b/>
                <w:bCs/>
                <w:color w:val="auto"/>
                <w:szCs w:val="21"/>
                <w:highlight w:val="none"/>
              </w:rPr>
            </w:pPr>
            <w:r>
              <w:rPr>
                <w:rFonts w:hint="eastAsia" w:ascii="宋体" w:hAnsi="宋体" w:cs="宋体"/>
                <w:b/>
                <w:bCs/>
                <w:color w:val="auto"/>
                <w:szCs w:val="21"/>
                <w:highlight w:val="none"/>
              </w:rPr>
              <w:t>其他重要说明</w:t>
            </w:r>
          </w:p>
        </w:tc>
      </w:tr>
      <w:tr w14:paraId="258E2A0B">
        <w:tblPrEx>
          <w:tblCellMar>
            <w:top w:w="0" w:type="dxa"/>
            <w:left w:w="108" w:type="dxa"/>
            <w:bottom w:w="0" w:type="dxa"/>
            <w:right w:w="108" w:type="dxa"/>
          </w:tblCellMar>
        </w:tblPrEx>
        <w:trPr>
          <w:trHeight w:val="934" w:hRule="atLeast"/>
        </w:trPr>
        <w:tc>
          <w:tcPr>
            <w:tcW w:w="746" w:type="dxa"/>
            <w:tcBorders>
              <w:top w:val="single" w:color="auto" w:sz="4" w:space="0"/>
              <w:left w:val="single" w:color="auto" w:sz="4" w:space="0"/>
              <w:bottom w:val="single" w:color="auto" w:sz="4" w:space="0"/>
              <w:right w:val="single" w:color="auto" w:sz="4" w:space="0"/>
            </w:tcBorders>
            <w:vAlign w:val="center"/>
          </w:tcPr>
          <w:p w14:paraId="10A94442">
            <w:pPr>
              <w:spacing w:line="420" w:lineRule="exact"/>
              <w:jc w:val="center"/>
              <w:rPr>
                <w:rFonts w:ascii="宋体" w:hAnsi="宋体" w:cs="宋体"/>
                <w:b/>
                <w:bCs/>
                <w:color w:val="auto"/>
                <w:szCs w:val="21"/>
                <w:highlight w:val="none"/>
              </w:rPr>
            </w:pPr>
            <w:r>
              <w:rPr>
                <w:rFonts w:hint="eastAsia" w:ascii="宋体" w:hAnsi="宋体" w:cs="宋体"/>
                <w:b/>
                <w:bCs/>
                <w:color w:val="auto"/>
                <w:szCs w:val="21"/>
                <w:highlight w:val="none"/>
              </w:rPr>
              <w:t>2</w:t>
            </w:r>
            <w:r>
              <w:rPr>
                <w:rFonts w:ascii="宋体" w:hAnsi="宋体" w:cs="宋体"/>
                <w:b/>
                <w:bCs/>
                <w:color w:val="auto"/>
                <w:szCs w:val="21"/>
                <w:highlight w:val="none"/>
              </w:rPr>
              <w:t>0</w:t>
            </w:r>
            <w:r>
              <w:rPr>
                <w:rFonts w:hint="eastAsia" w:ascii="宋体" w:hAnsi="宋体" w:cs="宋体"/>
                <w:b/>
                <w:bCs/>
                <w:color w:val="auto"/>
                <w:szCs w:val="21"/>
                <w:highlight w:val="none"/>
              </w:rPr>
              <w:t>.1</w:t>
            </w: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02BDD004">
            <w:pPr>
              <w:spacing w:line="420" w:lineRule="exact"/>
              <w:jc w:val="center"/>
              <w:rPr>
                <w:rFonts w:ascii="宋体" w:hAnsi="宋体" w:cs="宋体"/>
                <w:color w:val="auto"/>
                <w:szCs w:val="21"/>
                <w:highlight w:val="none"/>
              </w:rPr>
            </w:pPr>
            <w:r>
              <w:rPr>
                <w:rFonts w:hint="eastAsia" w:ascii="宋体" w:hAnsi="宋体" w:cs="宋体"/>
                <w:color w:val="auto"/>
                <w:highlight w:val="none"/>
              </w:rPr>
              <w:t>保密要求</w:t>
            </w:r>
          </w:p>
        </w:tc>
        <w:tc>
          <w:tcPr>
            <w:tcW w:w="6096" w:type="dxa"/>
            <w:tcBorders>
              <w:top w:val="single" w:color="auto" w:sz="4" w:space="0"/>
              <w:left w:val="single" w:color="auto" w:sz="4" w:space="0"/>
              <w:bottom w:val="single" w:color="auto" w:sz="4" w:space="0"/>
              <w:right w:val="single" w:color="auto" w:sz="4" w:space="0"/>
            </w:tcBorders>
            <w:vAlign w:val="center"/>
          </w:tcPr>
          <w:p w14:paraId="43D63DEB">
            <w:pPr>
              <w:pStyle w:val="56"/>
              <w:ind w:firstLine="315" w:firstLineChars="150"/>
              <w:jc w:val="both"/>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参选</w:t>
            </w:r>
            <w:r>
              <w:rPr>
                <w:rFonts w:hint="eastAsia" w:ascii="宋体" w:hAnsi="宋体" w:cs="宋体"/>
                <w:color w:val="auto"/>
                <w:sz w:val="21"/>
                <w:szCs w:val="21"/>
                <w:highlight w:val="none"/>
              </w:rPr>
              <w:t>人应对收到的招</w:t>
            </w:r>
            <w:r>
              <w:rPr>
                <w:rFonts w:hint="eastAsia" w:ascii="宋体" w:hAnsi="宋体" w:cs="宋体"/>
                <w:color w:val="auto"/>
                <w:sz w:val="21"/>
                <w:szCs w:val="21"/>
                <w:highlight w:val="none"/>
                <w:lang w:val="en-US" w:eastAsia="zh-CN"/>
              </w:rPr>
              <w:t>选</w:t>
            </w:r>
            <w:r>
              <w:rPr>
                <w:rFonts w:hint="eastAsia" w:ascii="宋体" w:hAnsi="宋体" w:cs="宋体"/>
                <w:color w:val="auto"/>
                <w:sz w:val="21"/>
                <w:szCs w:val="21"/>
                <w:highlight w:val="none"/>
              </w:rPr>
              <w:t>文件中的商业和技术等秘密保密，违者应对由此造成的后果承担法律责任。</w:t>
            </w:r>
          </w:p>
        </w:tc>
      </w:tr>
      <w:tr w14:paraId="2C40CDF1">
        <w:tblPrEx>
          <w:tblCellMar>
            <w:top w:w="0" w:type="dxa"/>
            <w:left w:w="108" w:type="dxa"/>
            <w:bottom w:w="0" w:type="dxa"/>
            <w:right w:w="108" w:type="dxa"/>
          </w:tblCellMar>
        </w:tblPrEx>
        <w:trPr>
          <w:trHeight w:val="934" w:hRule="atLeast"/>
        </w:trPr>
        <w:tc>
          <w:tcPr>
            <w:tcW w:w="746" w:type="dxa"/>
            <w:tcBorders>
              <w:top w:val="single" w:color="auto" w:sz="4" w:space="0"/>
              <w:left w:val="single" w:color="auto" w:sz="4" w:space="0"/>
              <w:bottom w:val="single" w:color="auto" w:sz="4" w:space="0"/>
              <w:right w:val="single" w:color="auto" w:sz="4" w:space="0"/>
            </w:tcBorders>
            <w:vAlign w:val="center"/>
          </w:tcPr>
          <w:p w14:paraId="5CC15224">
            <w:pPr>
              <w:spacing w:line="420" w:lineRule="exact"/>
              <w:jc w:val="center"/>
              <w:rPr>
                <w:rFonts w:ascii="宋体" w:hAnsi="宋体" w:cs="宋体"/>
                <w:b/>
                <w:bCs/>
                <w:color w:val="auto"/>
                <w:szCs w:val="21"/>
                <w:highlight w:val="none"/>
              </w:rPr>
            </w:pPr>
            <w:r>
              <w:rPr>
                <w:rFonts w:hint="eastAsia" w:ascii="宋体" w:hAnsi="宋体" w:cs="宋体"/>
                <w:b/>
                <w:bCs/>
                <w:color w:val="auto"/>
                <w:szCs w:val="21"/>
                <w:highlight w:val="none"/>
              </w:rPr>
              <w:t>2</w:t>
            </w:r>
            <w:r>
              <w:rPr>
                <w:rFonts w:ascii="宋体" w:hAnsi="宋体" w:cs="宋体"/>
                <w:b/>
                <w:bCs/>
                <w:color w:val="auto"/>
                <w:szCs w:val="21"/>
                <w:highlight w:val="none"/>
              </w:rPr>
              <w:t>0.2</w:t>
            </w: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3FB4A9AA">
            <w:pPr>
              <w:spacing w:line="420" w:lineRule="exact"/>
              <w:jc w:val="center"/>
              <w:rPr>
                <w:rFonts w:ascii="宋体" w:hAnsi="宋体" w:cs="宋体"/>
                <w:b/>
                <w:bCs/>
                <w:color w:val="auto"/>
                <w:highlight w:val="none"/>
              </w:rPr>
            </w:pPr>
            <w:r>
              <w:rPr>
                <w:rFonts w:hint="eastAsia" w:ascii="宋体" w:hAnsi="宋体" w:cs="宋体"/>
                <w:b/>
                <w:bCs/>
                <w:color w:val="auto"/>
                <w:highlight w:val="none"/>
                <w:lang w:val="en-US" w:eastAsia="zh-CN"/>
              </w:rPr>
              <w:t>参选</w:t>
            </w:r>
            <w:r>
              <w:rPr>
                <w:rFonts w:hint="eastAsia" w:ascii="宋体" w:hAnsi="宋体" w:cs="宋体"/>
                <w:b/>
                <w:bCs/>
                <w:color w:val="auto"/>
                <w:highlight w:val="none"/>
              </w:rPr>
              <w:t>单价</w:t>
            </w:r>
          </w:p>
        </w:tc>
        <w:tc>
          <w:tcPr>
            <w:tcW w:w="6096" w:type="dxa"/>
            <w:tcBorders>
              <w:top w:val="single" w:color="auto" w:sz="4" w:space="0"/>
              <w:left w:val="single" w:color="auto" w:sz="4" w:space="0"/>
              <w:bottom w:val="single" w:color="auto" w:sz="4" w:space="0"/>
              <w:right w:val="single" w:color="auto" w:sz="4" w:space="0"/>
            </w:tcBorders>
            <w:vAlign w:val="center"/>
          </w:tcPr>
          <w:p w14:paraId="3F5AF261">
            <w:pPr>
              <w:pStyle w:val="56"/>
              <w:ind w:firstLine="315" w:firstLineChars="150"/>
              <w:jc w:val="both"/>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参选人所报</w:t>
            </w:r>
            <w:r>
              <w:rPr>
                <w:rFonts w:hint="eastAsia" w:ascii="宋体" w:hAnsi="宋体" w:cs="宋体"/>
                <w:color w:val="auto"/>
                <w:sz w:val="21"/>
                <w:szCs w:val="21"/>
                <w:highlight w:val="none"/>
              </w:rPr>
              <w:t>单价均已包含</w:t>
            </w:r>
            <w:r>
              <w:rPr>
                <w:rFonts w:hint="eastAsia" w:ascii="宋体" w:hAnsi="宋体" w:cs="宋体"/>
                <w:color w:val="auto"/>
                <w:sz w:val="21"/>
                <w:szCs w:val="21"/>
                <w:highlight w:val="none"/>
                <w:lang w:val="en-US" w:eastAsia="zh-CN"/>
              </w:rPr>
              <w:t>参选人完成供货所需</w:t>
            </w:r>
            <w:r>
              <w:rPr>
                <w:rFonts w:hint="eastAsia" w:ascii="宋体" w:hAnsi="宋体" w:cs="宋体"/>
                <w:color w:val="auto"/>
                <w:sz w:val="21"/>
                <w:szCs w:val="21"/>
                <w:highlight w:val="none"/>
              </w:rPr>
              <w:t>的人工费、材料费、运输费、装卸费、设备使用费、利润、税金（1</w:t>
            </w:r>
            <w:r>
              <w:rPr>
                <w:rFonts w:ascii="宋体" w:hAnsi="宋体" w:cs="宋体"/>
                <w:color w:val="auto"/>
                <w:sz w:val="21"/>
                <w:szCs w:val="21"/>
                <w:highlight w:val="none"/>
              </w:rPr>
              <w:t>3</w:t>
            </w: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w:t>
            </w:r>
            <w:bookmarkStart w:id="145" w:name="OLE_LINK2"/>
            <w:r>
              <w:rPr>
                <w:rFonts w:hint="eastAsia" w:ascii="宋体" w:hAnsi="宋体" w:cs="宋体"/>
                <w:color w:val="auto"/>
                <w:sz w:val="21"/>
                <w:szCs w:val="21"/>
                <w:highlight w:val="none"/>
                <w:lang w:val="en-US" w:eastAsia="zh-CN"/>
              </w:rPr>
              <w:t>电动阀配套的电动执行机构装置</w:t>
            </w:r>
            <w:bookmarkEnd w:id="145"/>
            <w:r>
              <w:rPr>
                <w:rFonts w:hint="eastAsia" w:ascii="宋体" w:hAnsi="宋体" w:cs="宋体"/>
                <w:color w:val="auto"/>
                <w:sz w:val="21"/>
                <w:szCs w:val="21"/>
                <w:highlight w:val="none"/>
                <w:lang w:val="en-US" w:eastAsia="zh-CN"/>
              </w:rPr>
              <w:t>费等，</w:t>
            </w:r>
            <w:r>
              <w:rPr>
                <w:rFonts w:hint="eastAsia" w:ascii="宋体" w:hAnsi="宋体" w:cs="宋体"/>
                <w:color w:val="auto"/>
                <w:sz w:val="21"/>
                <w:szCs w:val="21"/>
                <w:highlight w:val="none"/>
              </w:rPr>
              <w:t>与供货有关的所有垃圾清运费、临时工程摊销、其他费用摊销等全部费用以及应由</w:t>
            </w:r>
            <w:r>
              <w:rPr>
                <w:rFonts w:hint="eastAsia" w:ascii="宋体" w:hAnsi="宋体" w:cs="宋体"/>
                <w:color w:val="auto"/>
                <w:sz w:val="21"/>
                <w:szCs w:val="21"/>
                <w:highlight w:val="none"/>
                <w:lang w:eastAsia="zh-CN"/>
              </w:rPr>
              <w:t>参选</w:t>
            </w:r>
            <w:r>
              <w:rPr>
                <w:rFonts w:hint="eastAsia" w:ascii="宋体" w:hAnsi="宋体" w:cs="宋体"/>
                <w:color w:val="auto"/>
                <w:sz w:val="21"/>
                <w:szCs w:val="21"/>
                <w:highlight w:val="none"/>
              </w:rPr>
              <w:t>人承担的风险（如运输安全、</w:t>
            </w:r>
            <w:r>
              <w:rPr>
                <w:rFonts w:hint="eastAsia" w:ascii="宋体" w:hAnsi="宋体" w:cs="宋体"/>
                <w:color w:val="auto"/>
                <w:sz w:val="21"/>
                <w:szCs w:val="21"/>
                <w:highlight w:val="none"/>
                <w:lang w:val="en-US" w:eastAsia="zh-CN"/>
              </w:rPr>
              <w:t>配件</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材料上涨等）、义务和责任所发生的一切费用。</w:t>
            </w:r>
          </w:p>
        </w:tc>
      </w:tr>
      <w:tr w14:paraId="41FDD71C">
        <w:tblPrEx>
          <w:tblCellMar>
            <w:top w:w="0" w:type="dxa"/>
            <w:left w:w="108" w:type="dxa"/>
            <w:bottom w:w="0" w:type="dxa"/>
            <w:right w:w="108" w:type="dxa"/>
          </w:tblCellMar>
        </w:tblPrEx>
        <w:trPr>
          <w:trHeight w:val="934" w:hRule="atLeast"/>
        </w:trPr>
        <w:tc>
          <w:tcPr>
            <w:tcW w:w="746" w:type="dxa"/>
            <w:tcBorders>
              <w:top w:val="single" w:color="auto" w:sz="4" w:space="0"/>
              <w:left w:val="single" w:color="auto" w:sz="4" w:space="0"/>
              <w:bottom w:val="single" w:color="auto" w:sz="4" w:space="0"/>
              <w:right w:val="single" w:color="auto" w:sz="4" w:space="0"/>
            </w:tcBorders>
            <w:vAlign w:val="center"/>
          </w:tcPr>
          <w:p w14:paraId="11A2A57F">
            <w:pPr>
              <w:spacing w:line="420" w:lineRule="exact"/>
              <w:jc w:val="center"/>
              <w:rPr>
                <w:rFonts w:ascii="宋体" w:hAnsi="宋体" w:cs="宋体"/>
                <w:b/>
                <w:bCs/>
                <w:color w:val="auto"/>
                <w:szCs w:val="21"/>
                <w:highlight w:val="none"/>
              </w:rPr>
            </w:pPr>
            <w:r>
              <w:rPr>
                <w:rFonts w:hint="eastAsia" w:ascii="宋体" w:hAnsi="宋体" w:cs="宋体"/>
                <w:b/>
                <w:bCs/>
                <w:color w:val="auto"/>
                <w:szCs w:val="21"/>
                <w:highlight w:val="none"/>
              </w:rPr>
              <w:t>2</w:t>
            </w:r>
            <w:r>
              <w:rPr>
                <w:rFonts w:ascii="宋体" w:hAnsi="宋体" w:cs="宋体"/>
                <w:b/>
                <w:bCs/>
                <w:color w:val="auto"/>
                <w:szCs w:val="21"/>
                <w:highlight w:val="none"/>
              </w:rPr>
              <w:t>0.3</w:t>
            </w: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52A86226">
            <w:pPr>
              <w:spacing w:line="420" w:lineRule="exact"/>
              <w:jc w:val="center"/>
              <w:rPr>
                <w:rFonts w:ascii="宋体" w:hAnsi="宋体" w:cs="宋体"/>
                <w:b/>
                <w:bCs/>
                <w:color w:val="auto"/>
                <w:highlight w:val="none"/>
              </w:rPr>
            </w:pPr>
            <w:r>
              <w:rPr>
                <w:rFonts w:hint="eastAsia" w:ascii="宋体" w:hAnsi="宋体" w:cs="宋体"/>
                <w:b/>
                <w:bCs/>
                <w:color w:val="auto"/>
                <w:highlight w:val="none"/>
              </w:rPr>
              <w:t>控制价说明</w:t>
            </w:r>
          </w:p>
        </w:tc>
        <w:tc>
          <w:tcPr>
            <w:tcW w:w="6096" w:type="dxa"/>
            <w:tcBorders>
              <w:top w:val="single" w:color="auto" w:sz="4" w:space="0"/>
              <w:left w:val="single" w:color="auto" w:sz="4" w:space="0"/>
              <w:bottom w:val="single" w:color="auto" w:sz="4" w:space="0"/>
              <w:right w:val="single" w:color="auto" w:sz="4" w:space="0"/>
            </w:tcBorders>
            <w:vAlign w:val="center"/>
          </w:tcPr>
          <w:p w14:paraId="3D1A07CA">
            <w:pPr>
              <w:tabs>
                <w:tab w:val="left" w:pos="930"/>
              </w:tabs>
              <w:spacing w:line="360" w:lineRule="auto"/>
              <w:ind w:firstLine="422" w:firstLineChars="200"/>
              <w:rPr>
                <w:rFonts w:hint="default" w:eastAsiaTheme="minorEastAsia"/>
                <w:color w:val="auto"/>
                <w:szCs w:val="21"/>
                <w:highlight w:val="none"/>
                <w:lang w:val="en-US" w:eastAsia="zh-CN"/>
              </w:rPr>
            </w:pPr>
            <w:r>
              <w:rPr>
                <w:rFonts w:hint="eastAsia" w:ascii="宋体" w:hAnsi="宋体" w:eastAsia="宋体" w:cs="宋体"/>
                <w:b/>
                <w:bCs/>
                <w:color w:val="auto"/>
                <w:kern w:val="0"/>
                <w:szCs w:val="21"/>
                <w:highlight w:val="none"/>
              </w:rPr>
              <w:t>最高控制总价A</w:t>
            </w:r>
            <w:r>
              <w:rPr>
                <w:rFonts w:ascii="宋体" w:hAnsi="宋体" w:eastAsia="宋体" w:cs="宋体"/>
                <w:b/>
                <w:bCs/>
                <w:color w:val="auto"/>
                <w:kern w:val="0"/>
                <w:szCs w:val="21"/>
                <w:highlight w:val="none"/>
              </w:rPr>
              <w:t>=</w:t>
            </w:r>
            <w:r>
              <w:rPr>
                <w:rFonts w:hint="eastAsia" w:ascii="宋体" w:hAnsi="宋体" w:eastAsia="宋体" w:cs="宋体"/>
                <w:b/>
                <w:bCs/>
                <w:color w:val="auto"/>
                <w:kern w:val="0"/>
                <w:szCs w:val="21"/>
                <w:highlight w:val="none"/>
              </w:rPr>
              <w:t>2270万元。</w:t>
            </w:r>
            <w:r>
              <w:rPr>
                <w:rFonts w:hint="eastAsia" w:ascii="宋体" w:hAnsi="宋体" w:eastAsia="宋体" w:cs="宋体"/>
                <w:b/>
                <w:bCs/>
                <w:color w:val="auto"/>
                <w:kern w:val="0"/>
                <w:szCs w:val="21"/>
                <w:highlight w:val="none"/>
                <w:lang w:val="en-US" w:eastAsia="zh-CN"/>
              </w:rPr>
              <w:t>附表一：采购清单控制价表。</w:t>
            </w:r>
          </w:p>
        </w:tc>
      </w:tr>
      <w:tr w14:paraId="047A6226">
        <w:tblPrEx>
          <w:tblCellMar>
            <w:top w:w="0" w:type="dxa"/>
            <w:left w:w="108" w:type="dxa"/>
            <w:bottom w:w="0" w:type="dxa"/>
            <w:right w:w="108" w:type="dxa"/>
          </w:tblCellMar>
        </w:tblPrEx>
        <w:trPr>
          <w:trHeight w:val="934" w:hRule="atLeast"/>
        </w:trPr>
        <w:tc>
          <w:tcPr>
            <w:tcW w:w="746" w:type="dxa"/>
            <w:tcBorders>
              <w:top w:val="single" w:color="auto" w:sz="4" w:space="0"/>
              <w:left w:val="single" w:color="auto" w:sz="4" w:space="0"/>
              <w:bottom w:val="single" w:color="auto" w:sz="4" w:space="0"/>
              <w:right w:val="single" w:color="auto" w:sz="4" w:space="0"/>
            </w:tcBorders>
            <w:vAlign w:val="center"/>
          </w:tcPr>
          <w:p w14:paraId="2A542214">
            <w:pPr>
              <w:spacing w:line="420" w:lineRule="exact"/>
              <w:jc w:val="center"/>
              <w:rPr>
                <w:rFonts w:ascii="宋体" w:hAnsi="宋体" w:cs="宋体"/>
                <w:b/>
                <w:bCs/>
                <w:color w:val="auto"/>
                <w:szCs w:val="21"/>
                <w:highlight w:val="none"/>
              </w:rPr>
            </w:pPr>
            <w:r>
              <w:rPr>
                <w:rFonts w:hint="eastAsia" w:ascii="宋体" w:hAnsi="宋体" w:cs="宋体"/>
                <w:b/>
                <w:bCs/>
                <w:color w:val="auto"/>
                <w:szCs w:val="21"/>
                <w:highlight w:val="none"/>
              </w:rPr>
              <w:t>2</w:t>
            </w:r>
            <w:r>
              <w:rPr>
                <w:rFonts w:ascii="宋体" w:hAnsi="宋体" w:cs="宋体"/>
                <w:b/>
                <w:bCs/>
                <w:color w:val="auto"/>
                <w:szCs w:val="21"/>
                <w:highlight w:val="none"/>
              </w:rPr>
              <w:t>0.4</w:t>
            </w: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138AEEBC">
            <w:pPr>
              <w:spacing w:line="420" w:lineRule="exact"/>
              <w:jc w:val="center"/>
              <w:rPr>
                <w:rFonts w:ascii="宋体" w:hAnsi="宋体" w:cs="宋体"/>
                <w:b/>
                <w:bCs/>
                <w:color w:val="auto"/>
                <w:highlight w:val="none"/>
              </w:rPr>
            </w:pPr>
            <w:r>
              <w:rPr>
                <w:rFonts w:hint="eastAsia" w:ascii="宋体" w:hAnsi="宋体" w:eastAsia="宋体" w:cs="仿宋_GB2312"/>
                <w:b/>
                <w:bCs/>
                <w:color w:val="auto"/>
                <w:kern w:val="0"/>
                <w:szCs w:val="21"/>
                <w:highlight w:val="none"/>
                <w:lang w:val="en-US" w:eastAsia="zh-CN"/>
              </w:rPr>
              <w:t>支付</w:t>
            </w:r>
            <w:r>
              <w:rPr>
                <w:rFonts w:hint="eastAsia" w:ascii="宋体" w:hAnsi="宋体" w:eastAsia="宋体" w:cs="仿宋_GB2312"/>
                <w:b/>
                <w:bCs/>
                <w:color w:val="auto"/>
                <w:kern w:val="0"/>
                <w:szCs w:val="21"/>
                <w:highlight w:val="none"/>
              </w:rPr>
              <w:t>方式</w:t>
            </w:r>
          </w:p>
        </w:tc>
        <w:tc>
          <w:tcPr>
            <w:tcW w:w="6096" w:type="dxa"/>
            <w:tcBorders>
              <w:top w:val="single" w:color="auto" w:sz="4" w:space="0"/>
              <w:left w:val="single" w:color="auto" w:sz="4" w:space="0"/>
              <w:bottom w:val="single" w:color="auto" w:sz="4" w:space="0"/>
              <w:right w:val="single" w:color="auto" w:sz="4" w:space="0"/>
            </w:tcBorders>
            <w:vAlign w:val="center"/>
          </w:tcPr>
          <w:p w14:paraId="5E528527">
            <w:pPr>
              <w:pStyle w:val="56"/>
              <w:ind w:firstLine="315" w:firstLineChars="150"/>
              <w:jc w:val="both"/>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（1）预付款按每批次供货清单总额的20%支付，货物交付并经招选人验收合格30日内，采用金融票据支付至90%;工程整体完工验收合格后30日内或工程通水后180日，支付至95%;剩余5%作为质保金。</w:t>
            </w:r>
          </w:p>
          <w:p w14:paraId="385B7688">
            <w:pPr>
              <w:pStyle w:val="56"/>
              <w:ind w:firstLine="315" w:firstLineChars="150"/>
              <w:jc w:val="both"/>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（2）参选</w:t>
            </w:r>
            <w:r>
              <w:rPr>
                <w:rFonts w:hint="eastAsia" w:ascii="宋体" w:hAnsi="宋体" w:cs="宋体"/>
                <w:b w:val="0"/>
                <w:bCs w:val="0"/>
                <w:color w:val="auto"/>
                <w:sz w:val="21"/>
                <w:szCs w:val="21"/>
                <w:highlight w:val="none"/>
              </w:rPr>
              <w:t>人</w:t>
            </w:r>
            <w:r>
              <w:rPr>
                <w:rFonts w:hint="eastAsia" w:ascii="宋体" w:hAnsi="宋体" w:cs="宋体"/>
                <w:b w:val="0"/>
                <w:bCs w:val="0"/>
                <w:color w:val="auto"/>
                <w:sz w:val="21"/>
                <w:szCs w:val="21"/>
                <w:highlight w:val="none"/>
                <w:lang w:val="en-US" w:eastAsia="zh-CN"/>
              </w:rPr>
              <w:t>同意</w:t>
            </w:r>
            <w:r>
              <w:rPr>
                <w:rFonts w:hint="eastAsia" w:ascii="宋体" w:hAnsi="宋体" w:cs="宋体"/>
                <w:b w:val="0"/>
                <w:bCs w:val="0"/>
                <w:color w:val="auto"/>
                <w:sz w:val="21"/>
                <w:szCs w:val="21"/>
                <w:highlight w:val="none"/>
              </w:rPr>
              <w:t>接受招</w:t>
            </w:r>
            <w:r>
              <w:rPr>
                <w:rFonts w:hint="eastAsia" w:ascii="宋体" w:hAnsi="宋体" w:cs="宋体"/>
                <w:b w:val="0"/>
                <w:bCs w:val="0"/>
                <w:color w:val="auto"/>
                <w:sz w:val="21"/>
                <w:szCs w:val="21"/>
                <w:highlight w:val="none"/>
                <w:lang w:val="en-US" w:eastAsia="zh-CN"/>
              </w:rPr>
              <w:t>选</w:t>
            </w:r>
            <w:r>
              <w:rPr>
                <w:rFonts w:hint="eastAsia" w:ascii="宋体" w:hAnsi="宋体" w:cs="宋体"/>
                <w:b w:val="0"/>
                <w:bCs w:val="0"/>
                <w:color w:val="auto"/>
                <w:sz w:val="21"/>
                <w:szCs w:val="21"/>
                <w:highlight w:val="none"/>
              </w:rPr>
              <w:t>人采用现金和银行金融票据进行支付，</w:t>
            </w:r>
            <w:r>
              <w:rPr>
                <w:rFonts w:hint="eastAsia" w:ascii="宋体" w:hAnsi="宋体" w:cs="宋体"/>
                <w:b w:val="0"/>
                <w:bCs w:val="0"/>
                <w:color w:val="auto"/>
                <w:sz w:val="21"/>
                <w:szCs w:val="21"/>
                <w:highlight w:val="none"/>
                <w:lang w:val="en-US" w:eastAsia="zh-CN"/>
              </w:rPr>
              <w:t>银行金融票据占比不低于</w:t>
            </w:r>
            <w:r>
              <w:rPr>
                <w:rFonts w:hint="eastAsia" w:ascii="宋体" w:hAnsi="宋体" w:cs="宋体"/>
                <w:b w:val="0"/>
                <w:bCs w:val="0"/>
                <w:color w:val="auto"/>
                <w:sz w:val="21"/>
                <w:szCs w:val="21"/>
                <w:highlight w:val="none"/>
              </w:rPr>
              <w:t>5</w:t>
            </w:r>
            <w:r>
              <w:rPr>
                <w:rFonts w:ascii="宋体" w:hAnsi="宋体" w:cs="宋体"/>
                <w:b w:val="0"/>
                <w:bCs w:val="0"/>
                <w:color w:val="auto"/>
                <w:sz w:val="21"/>
                <w:szCs w:val="21"/>
                <w:highlight w:val="none"/>
              </w:rPr>
              <w:t>0</w:t>
            </w:r>
            <w:r>
              <w:rPr>
                <w:rFonts w:hint="eastAsia" w:ascii="宋体" w:hAnsi="宋体" w:cs="宋体"/>
                <w:b w:val="0"/>
                <w:bCs w:val="0"/>
                <w:color w:val="auto"/>
                <w:sz w:val="21"/>
                <w:szCs w:val="21"/>
                <w:highlight w:val="none"/>
              </w:rPr>
              <w:t>%</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rPr>
              <w:t>期限为6个月</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rPr>
              <w:t>贴息费</w:t>
            </w:r>
            <w:r>
              <w:rPr>
                <w:rFonts w:hint="eastAsia" w:ascii="宋体" w:hAnsi="宋体" w:cs="宋体"/>
                <w:b w:val="0"/>
                <w:bCs w:val="0"/>
                <w:color w:val="auto"/>
                <w:sz w:val="21"/>
                <w:szCs w:val="21"/>
                <w:highlight w:val="none"/>
                <w:lang w:val="en-US" w:eastAsia="zh-CN"/>
              </w:rPr>
              <w:t>用</w:t>
            </w:r>
            <w:r>
              <w:rPr>
                <w:rFonts w:hint="eastAsia" w:ascii="宋体" w:hAnsi="宋体" w:cs="宋体"/>
                <w:b w:val="0"/>
                <w:bCs w:val="0"/>
                <w:color w:val="auto"/>
                <w:sz w:val="21"/>
                <w:szCs w:val="21"/>
                <w:highlight w:val="none"/>
              </w:rPr>
              <w:t>由中</w:t>
            </w:r>
            <w:r>
              <w:rPr>
                <w:rFonts w:hint="eastAsia" w:ascii="宋体" w:hAnsi="宋体" w:cs="宋体"/>
                <w:b w:val="0"/>
                <w:bCs w:val="0"/>
                <w:color w:val="auto"/>
                <w:sz w:val="21"/>
                <w:szCs w:val="21"/>
                <w:highlight w:val="none"/>
                <w:lang w:val="en-US" w:eastAsia="zh-CN"/>
              </w:rPr>
              <w:t>选</w:t>
            </w:r>
            <w:r>
              <w:rPr>
                <w:rFonts w:hint="eastAsia" w:ascii="宋体" w:hAnsi="宋体" w:cs="宋体"/>
                <w:b w:val="0"/>
                <w:bCs w:val="0"/>
                <w:color w:val="auto"/>
                <w:sz w:val="21"/>
                <w:szCs w:val="21"/>
                <w:highlight w:val="none"/>
              </w:rPr>
              <w:t>人承担。</w:t>
            </w:r>
          </w:p>
        </w:tc>
      </w:tr>
      <w:tr w14:paraId="2818D27B">
        <w:tblPrEx>
          <w:tblCellMar>
            <w:top w:w="0" w:type="dxa"/>
            <w:left w:w="108" w:type="dxa"/>
            <w:bottom w:w="0" w:type="dxa"/>
            <w:right w:w="108" w:type="dxa"/>
          </w:tblCellMar>
        </w:tblPrEx>
        <w:trPr>
          <w:trHeight w:val="934" w:hRule="atLeast"/>
        </w:trPr>
        <w:tc>
          <w:tcPr>
            <w:tcW w:w="746" w:type="dxa"/>
            <w:tcBorders>
              <w:top w:val="single" w:color="auto" w:sz="4" w:space="0"/>
              <w:left w:val="single" w:color="auto" w:sz="4" w:space="0"/>
              <w:bottom w:val="single" w:color="auto" w:sz="4" w:space="0"/>
              <w:right w:val="single" w:color="auto" w:sz="4" w:space="0"/>
            </w:tcBorders>
            <w:vAlign w:val="center"/>
          </w:tcPr>
          <w:p w14:paraId="51D5C51B">
            <w:pPr>
              <w:spacing w:line="420" w:lineRule="exact"/>
              <w:jc w:val="center"/>
              <w:rPr>
                <w:rFonts w:hint="eastAsia" w:ascii="宋体" w:hAnsi="宋体" w:cs="宋体" w:eastAsiaTheme="minorEastAsia"/>
                <w:b/>
                <w:bCs/>
                <w:color w:val="auto"/>
                <w:szCs w:val="21"/>
                <w:highlight w:val="none"/>
                <w:lang w:eastAsia="zh-CN"/>
              </w:rPr>
            </w:pPr>
            <w:r>
              <w:rPr>
                <w:rFonts w:hint="eastAsia" w:ascii="宋体" w:hAnsi="宋体" w:cs="宋体"/>
                <w:b/>
                <w:bCs/>
                <w:color w:val="auto"/>
                <w:szCs w:val="21"/>
                <w:highlight w:val="none"/>
              </w:rPr>
              <w:t>2</w:t>
            </w:r>
            <w:r>
              <w:rPr>
                <w:rFonts w:ascii="宋体" w:hAnsi="宋体" w:cs="宋体"/>
                <w:b/>
                <w:bCs/>
                <w:color w:val="auto"/>
                <w:szCs w:val="21"/>
                <w:highlight w:val="none"/>
              </w:rPr>
              <w:t>0.</w:t>
            </w:r>
            <w:r>
              <w:rPr>
                <w:rFonts w:hint="eastAsia" w:ascii="宋体" w:hAnsi="宋体" w:cs="宋体"/>
                <w:b/>
                <w:bCs/>
                <w:color w:val="auto"/>
                <w:szCs w:val="21"/>
                <w:highlight w:val="none"/>
                <w:lang w:val="en-US" w:eastAsia="zh-CN"/>
              </w:rPr>
              <w:t>5</w:t>
            </w: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2B4A40D7">
            <w:pPr>
              <w:spacing w:line="420" w:lineRule="exact"/>
              <w:jc w:val="center"/>
              <w:rPr>
                <w:rFonts w:ascii="宋体" w:hAnsi="宋体" w:cs="宋体"/>
                <w:b/>
                <w:bCs/>
                <w:color w:val="auto"/>
                <w:highlight w:val="none"/>
              </w:rPr>
            </w:pPr>
            <w:r>
              <w:rPr>
                <w:rFonts w:hint="eastAsia" w:ascii="宋体" w:hAnsi="宋体" w:cs="宋体"/>
                <w:b/>
                <w:bCs/>
                <w:color w:val="auto"/>
                <w:highlight w:val="none"/>
              </w:rPr>
              <w:t>供货项目</w:t>
            </w:r>
          </w:p>
        </w:tc>
        <w:tc>
          <w:tcPr>
            <w:tcW w:w="6096" w:type="dxa"/>
            <w:tcBorders>
              <w:top w:val="single" w:color="auto" w:sz="4" w:space="0"/>
              <w:left w:val="single" w:color="auto" w:sz="4" w:space="0"/>
              <w:bottom w:val="single" w:color="auto" w:sz="4" w:space="0"/>
              <w:right w:val="single" w:color="auto" w:sz="4" w:space="0"/>
            </w:tcBorders>
            <w:vAlign w:val="center"/>
          </w:tcPr>
          <w:p w14:paraId="2F1E6E5C">
            <w:pPr>
              <w:pStyle w:val="56"/>
              <w:jc w:val="both"/>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漳州市东南沿海地区九龙江调水工程</w:t>
            </w:r>
            <w:r>
              <w:rPr>
                <w:rFonts w:hint="eastAsia" w:ascii="宋体" w:hAnsi="宋体" w:cs="宋体"/>
                <w:b w:val="0"/>
                <w:bCs w:val="0"/>
                <w:color w:val="auto"/>
                <w:szCs w:val="21"/>
                <w:highlight w:val="none"/>
                <w:u w:val="single"/>
                <w:lang w:eastAsia="zh-CN"/>
              </w:rPr>
              <w:t>（</w:t>
            </w:r>
            <w:r>
              <w:rPr>
                <w:rFonts w:hint="eastAsia" w:ascii="宋体" w:hAnsi="宋体" w:cs="宋体"/>
                <w:b w:val="0"/>
                <w:bCs w:val="0"/>
                <w:color w:val="auto"/>
                <w:szCs w:val="21"/>
                <w:highlight w:val="none"/>
                <w:u w:val="single"/>
                <w:lang w:val="en-US" w:eastAsia="zh-CN"/>
              </w:rPr>
              <w:t>一期</w:t>
            </w:r>
            <w:r>
              <w:rPr>
                <w:rFonts w:hint="eastAsia" w:ascii="宋体" w:hAnsi="宋体" w:cs="宋体"/>
                <w:b w:val="0"/>
                <w:bCs w:val="0"/>
                <w:color w:val="auto"/>
                <w:szCs w:val="21"/>
                <w:highlight w:val="none"/>
                <w:u w:val="single"/>
                <w:lang w:eastAsia="zh-CN"/>
              </w:rPr>
              <w:t>）</w:t>
            </w:r>
            <w:r>
              <w:rPr>
                <w:rFonts w:hint="eastAsia" w:ascii="宋体" w:hAnsi="宋体" w:cs="宋体"/>
                <w:b w:val="0"/>
                <w:bCs w:val="0"/>
                <w:color w:val="auto"/>
                <w:szCs w:val="21"/>
                <w:highlight w:val="none"/>
                <w:u w:val="single"/>
                <w:lang w:val="en-US" w:eastAsia="zh-CN"/>
              </w:rPr>
              <w:t>1、2标和（二期）1、3标</w:t>
            </w:r>
          </w:p>
        </w:tc>
      </w:tr>
      <w:tr w14:paraId="70B8C123">
        <w:tblPrEx>
          <w:tblCellMar>
            <w:top w:w="0" w:type="dxa"/>
            <w:left w:w="108" w:type="dxa"/>
            <w:bottom w:w="0" w:type="dxa"/>
            <w:right w:w="108" w:type="dxa"/>
          </w:tblCellMar>
        </w:tblPrEx>
        <w:trPr>
          <w:trHeight w:val="934" w:hRule="atLeast"/>
        </w:trPr>
        <w:tc>
          <w:tcPr>
            <w:tcW w:w="746" w:type="dxa"/>
            <w:tcBorders>
              <w:top w:val="single" w:color="auto" w:sz="4" w:space="0"/>
              <w:left w:val="single" w:color="auto" w:sz="4" w:space="0"/>
              <w:bottom w:val="single" w:color="auto" w:sz="4" w:space="0"/>
              <w:right w:val="single" w:color="auto" w:sz="4" w:space="0"/>
            </w:tcBorders>
            <w:vAlign w:val="center"/>
          </w:tcPr>
          <w:p w14:paraId="4983E26A">
            <w:pPr>
              <w:spacing w:line="420" w:lineRule="exact"/>
              <w:jc w:val="center"/>
              <w:rPr>
                <w:rFonts w:hint="eastAsia" w:ascii="宋体" w:hAnsi="宋体" w:cs="宋体" w:eastAsiaTheme="minorEastAsia"/>
                <w:b/>
                <w:bCs/>
                <w:color w:val="auto"/>
                <w:szCs w:val="21"/>
                <w:highlight w:val="none"/>
                <w:lang w:eastAsia="zh-CN"/>
              </w:rPr>
            </w:pPr>
            <w:r>
              <w:rPr>
                <w:rFonts w:hint="eastAsia" w:ascii="宋体" w:hAnsi="宋体" w:cs="宋体"/>
                <w:b/>
                <w:bCs/>
                <w:color w:val="auto"/>
                <w:szCs w:val="21"/>
                <w:highlight w:val="none"/>
              </w:rPr>
              <w:t>2</w:t>
            </w:r>
            <w:r>
              <w:rPr>
                <w:rFonts w:ascii="宋体" w:hAnsi="宋体" w:cs="宋体"/>
                <w:b/>
                <w:bCs/>
                <w:color w:val="auto"/>
                <w:szCs w:val="21"/>
                <w:highlight w:val="none"/>
              </w:rPr>
              <w:t>0.</w:t>
            </w:r>
            <w:r>
              <w:rPr>
                <w:rFonts w:hint="eastAsia" w:ascii="宋体" w:hAnsi="宋体" w:cs="宋体"/>
                <w:b/>
                <w:bCs/>
                <w:color w:val="auto"/>
                <w:szCs w:val="21"/>
                <w:highlight w:val="none"/>
                <w:lang w:val="en-US" w:eastAsia="zh-CN"/>
              </w:rPr>
              <w:t>6</w:t>
            </w: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79061378">
            <w:pPr>
              <w:spacing w:line="420" w:lineRule="exact"/>
              <w:jc w:val="center"/>
              <w:rPr>
                <w:rFonts w:ascii="宋体" w:hAnsi="宋体" w:cs="宋体"/>
                <w:b/>
                <w:bCs/>
                <w:color w:val="auto"/>
                <w:highlight w:val="none"/>
              </w:rPr>
            </w:pPr>
            <w:r>
              <w:rPr>
                <w:rFonts w:hint="eastAsia" w:ascii="宋体" w:hAnsi="宋体" w:cs="宋体"/>
                <w:b/>
                <w:bCs/>
                <w:color w:val="auto"/>
                <w:highlight w:val="none"/>
              </w:rPr>
              <w:t>供货数量及方式</w:t>
            </w:r>
          </w:p>
        </w:tc>
        <w:tc>
          <w:tcPr>
            <w:tcW w:w="6096" w:type="dxa"/>
            <w:tcBorders>
              <w:top w:val="single" w:color="auto" w:sz="4" w:space="0"/>
              <w:left w:val="single" w:color="auto" w:sz="4" w:space="0"/>
              <w:bottom w:val="single" w:color="auto" w:sz="4" w:space="0"/>
              <w:right w:val="single" w:color="auto" w:sz="4" w:space="0"/>
            </w:tcBorders>
            <w:vAlign w:val="center"/>
          </w:tcPr>
          <w:p w14:paraId="3AA4ADE8">
            <w:pPr>
              <w:pStyle w:val="56"/>
              <w:jc w:val="both"/>
              <w:rPr>
                <w:rFonts w:ascii="宋体" w:hAnsi="宋体" w:cs="宋体"/>
                <w:b w:val="0"/>
                <w:bCs w:val="0"/>
                <w:color w:val="auto"/>
                <w:sz w:val="21"/>
                <w:szCs w:val="21"/>
                <w:highlight w:val="none"/>
              </w:rPr>
            </w:pPr>
            <w:r>
              <w:rPr>
                <w:rFonts w:hint="eastAsia" w:ascii="宋体" w:hAnsi="宋体" w:cs="仿宋_GB2312"/>
                <w:b w:val="0"/>
                <w:bCs w:val="0"/>
                <w:color w:val="auto"/>
                <w:sz w:val="21"/>
                <w:szCs w:val="21"/>
                <w:highlight w:val="none"/>
              </w:rPr>
              <w:t>数量以实际供应结算。实际制造供货，按甲方出具的排产单，进行备料、制造、供货。</w:t>
            </w:r>
          </w:p>
        </w:tc>
      </w:tr>
      <w:tr w14:paraId="5341E88B">
        <w:tblPrEx>
          <w:tblCellMar>
            <w:top w:w="0" w:type="dxa"/>
            <w:left w:w="108" w:type="dxa"/>
            <w:bottom w:w="0" w:type="dxa"/>
            <w:right w:w="108" w:type="dxa"/>
          </w:tblCellMar>
        </w:tblPrEx>
        <w:trPr>
          <w:trHeight w:val="934" w:hRule="atLeast"/>
        </w:trPr>
        <w:tc>
          <w:tcPr>
            <w:tcW w:w="746" w:type="dxa"/>
            <w:tcBorders>
              <w:top w:val="single" w:color="auto" w:sz="4" w:space="0"/>
              <w:left w:val="single" w:color="auto" w:sz="4" w:space="0"/>
              <w:bottom w:val="single" w:color="auto" w:sz="4" w:space="0"/>
              <w:right w:val="single" w:color="auto" w:sz="4" w:space="0"/>
            </w:tcBorders>
            <w:vAlign w:val="center"/>
          </w:tcPr>
          <w:p w14:paraId="7C88FDDC">
            <w:pPr>
              <w:spacing w:line="420" w:lineRule="exact"/>
              <w:jc w:val="center"/>
              <w:rPr>
                <w:rFonts w:hint="eastAsia" w:ascii="宋体" w:hAnsi="宋体" w:eastAsia="宋体" w:cs="仿宋_GB2312"/>
                <w:b/>
                <w:bCs/>
                <w:color w:val="auto"/>
                <w:kern w:val="0"/>
                <w:szCs w:val="21"/>
                <w:highlight w:val="none"/>
                <w:lang w:val="en-US" w:eastAsia="zh-CN"/>
              </w:rPr>
            </w:pPr>
            <w:r>
              <w:rPr>
                <w:rFonts w:hint="eastAsia" w:ascii="宋体" w:hAnsi="宋体" w:eastAsia="宋体" w:cs="仿宋_GB2312"/>
                <w:b/>
                <w:bCs/>
                <w:color w:val="auto"/>
                <w:kern w:val="0"/>
                <w:szCs w:val="21"/>
                <w:highlight w:val="none"/>
              </w:rPr>
              <w:t>2</w:t>
            </w:r>
            <w:r>
              <w:rPr>
                <w:rFonts w:ascii="宋体" w:hAnsi="宋体" w:eastAsia="宋体" w:cs="仿宋_GB2312"/>
                <w:b/>
                <w:bCs/>
                <w:color w:val="auto"/>
                <w:kern w:val="0"/>
                <w:szCs w:val="21"/>
                <w:highlight w:val="none"/>
              </w:rPr>
              <w:t>0.</w:t>
            </w:r>
            <w:r>
              <w:rPr>
                <w:rFonts w:hint="eastAsia" w:ascii="宋体" w:hAnsi="宋体" w:eastAsia="宋体" w:cs="仿宋_GB2312"/>
                <w:b/>
                <w:bCs/>
                <w:color w:val="auto"/>
                <w:kern w:val="0"/>
                <w:szCs w:val="21"/>
                <w:highlight w:val="none"/>
                <w:lang w:val="en-US" w:eastAsia="zh-CN"/>
              </w:rPr>
              <w:t>7</w:t>
            </w: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09556EDE">
            <w:pPr>
              <w:spacing w:line="420" w:lineRule="exact"/>
              <w:jc w:val="center"/>
              <w:rPr>
                <w:rFonts w:ascii="宋体" w:hAnsi="宋体" w:eastAsia="宋体" w:cs="仿宋_GB2312"/>
                <w:b/>
                <w:bCs/>
                <w:color w:val="auto"/>
                <w:kern w:val="0"/>
                <w:szCs w:val="21"/>
                <w:highlight w:val="none"/>
              </w:rPr>
            </w:pPr>
            <w:r>
              <w:rPr>
                <w:rFonts w:hint="eastAsia" w:ascii="宋体" w:hAnsi="宋体" w:eastAsia="宋体" w:cs="仿宋_GB2312"/>
                <w:b/>
                <w:bCs/>
                <w:color w:val="auto"/>
                <w:kern w:val="0"/>
                <w:szCs w:val="21"/>
                <w:highlight w:val="none"/>
              </w:rPr>
              <w:t>中选人确定方式</w:t>
            </w:r>
          </w:p>
        </w:tc>
        <w:tc>
          <w:tcPr>
            <w:tcW w:w="6096" w:type="dxa"/>
            <w:tcBorders>
              <w:top w:val="single" w:color="auto" w:sz="4" w:space="0"/>
              <w:left w:val="single" w:color="auto" w:sz="4" w:space="0"/>
              <w:bottom w:val="single" w:color="auto" w:sz="4" w:space="0"/>
              <w:right w:val="single" w:color="auto" w:sz="4" w:space="0"/>
            </w:tcBorders>
            <w:vAlign w:val="center"/>
          </w:tcPr>
          <w:p w14:paraId="49847EE3">
            <w:pPr>
              <w:pStyle w:val="56"/>
              <w:ind w:firstLine="210" w:firstLineChars="100"/>
              <w:jc w:val="both"/>
              <w:rPr>
                <w:rFonts w:ascii="宋体" w:hAnsi="宋体" w:cs="仿宋_GB2312"/>
                <w:b w:val="0"/>
                <w:bCs w:val="0"/>
                <w:color w:val="auto"/>
                <w:sz w:val="21"/>
                <w:szCs w:val="21"/>
                <w:highlight w:val="none"/>
              </w:rPr>
            </w:pPr>
            <w:r>
              <w:rPr>
                <w:rFonts w:hint="eastAsia" w:ascii="宋体" w:hAnsi="宋体" w:cs="仿宋_GB2312"/>
                <w:b w:val="0"/>
                <w:bCs w:val="0"/>
                <w:color w:val="auto"/>
                <w:sz w:val="21"/>
                <w:szCs w:val="21"/>
                <w:highlight w:val="none"/>
              </w:rPr>
              <w:t>经评审合格后，</w:t>
            </w:r>
            <w:r>
              <w:rPr>
                <w:rFonts w:hint="eastAsia" w:ascii="宋体" w:hAnsi="宋体" w:cs="仿宋_GB2312"/>
                <w:b w:val="0"/>
                <w:bCs w:val="0"/>
                <w:color w:val="auto"/>
                <w:sz w:val="21"/>
                <w:szCs w:val="21"/>
                <w:highlight w:val="none"/>
                <w:lang w:eastAsia="zh-CN"/>
              </w:rPr>
              <w:t>参选</w:t>
            </w:r>
            <w:r>
              <w:rPr>
                <w:rFonts w:hint="eastAsia" w:ascii="宋体" w:hAnsi="宋体" w:cs="仿宋_GB2312"/>
                <w:b w:val="0"/>
                <w:bCs w:val="0"/>
                <w:color w:val="auto"/>
                <w:sz w:val="21"/>
                <w:szCs w:val="21"/>
                <w:highlight w:val="none"/>
              </w:rPr>
              <w:t>总报价在有效报价区间内且价格最低者为第一中选人。</w:t>
            </w:r>
          </w:p>
        </w:tc>
      </w:tr>
      <w:tr w14:paraId="290A8492">
        <w:tblPrEx>
          <w:tblCellMar>
            <w:top w:w="0" w:type="dxa"/>
            <w:left w:w="108" w:type="dxa"/>
            <w:bottom w:w="0" w:type="dxa"/>
            <w:right w:w="108" w:type="dxa"/>
          </w:tblCellMar>
        </w:tblPrEx>
        <w:trPr>
          <w:trHeight w:val="934" w:hRule="atLeast"/>
        </w:trPr>
        <w:tc>
          <w:tcPr>
            <w:tcW w:w="746" w:type="dxa"/>
            <w:tcBorders>
              <w:top w:val="single" w:color="auto" w:sz="4" w:space="0"/>
              <w:left w:val="single" w:color="auto" w:sz="4" w:space="0"/>
              <w:bottom w:val="single" w:color="auto" w:sz="4" w:space="0"/>
              <w:right w:val="single" w:color="auto" w:sz="4" w:space="0"/>
            </w:tcBorders>
            <w:vAlign w:val="center"/>
          </w:tcPr>
          <w:p w14:paraId="14714D6B">
            <w:pPr>
              <w:spacing w:line="420" w:lineRule="exact"/>
              <w:jc w:val="center"/>
              <w:rPr>
                <w:rFonts w:hint="eastAsia" w:ascii="宋体" w:hAnsi="宋体" w:eastAsia="宋体" w:cs="仿宋_GB2312"/>
                <w:b/>
                <w:bCs/>
                <w:color w:val="auto"/>
                <w:kern w:val="0"/>
                <w:szCs w:val="21"/>
                <w:highlight w:val="none"/>
                <w:lang w:eastAsia="zh-CN"/>
              </w:rPr>
            </w:pPr>
            <w:r>
              <w:rPr>
                <w:rFonts w:hint="eastAsia" w:ascii="宋体" w:hAnsi="宋体" w:eastAsia="宋体" w:cs="仿宋_GB2312"/>
                <w:b/>
                <w:bCs/>
                <w:color w:val="auto"/>
                <w:kern w:val="0"/>
                <w:szCs w:val="21"/>
                <w:highlight w:val="none"/>
              </w:rPr>
              <w:t>2</w:t>
            </w:r>
            <w:r>
              <w:rPr>
                <w:rFonts w:ascii="宋体" w:hAnsi="宋体" w:eastAsia="宋体" w:cs="仿宋_GB2312"/>
                <w:b/>
                <w:bCs/>
                <w:color w:val="auto"/>
                <w:kern w:val="0"/>
                <w:szCs w:val="21"/>
                <w:highlight w:val="none"/>
              </w:rPr>
              <w:t>0.</w:t>
            </w:r>
            <w:r>
              <w:rPr>
                <w:rFonts w:hint="eastAsia" w:ascii="宋体" w:hAnsi="宋体" w:eastAsia="宋体" w:cs="仿宋_GB2312"/>
                <w:b/>
                <w:bCs/>
                <w:color w:val="auto"/>
                <w:kern w:val="0"/>
                <w:szCs w:val="21"/>
                <w:highlight w:val="none"/>
                <w:lang w:val="en-US" w:eastAsia="zh-CN"/>
              </w:rPr>
              <w:t>8</w:t>
            </w: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632133B3">
            <w:pPr>
              <w:spacing w:line="420" w:lineRule="exact"/>
              <w:jc w:val="center"/>
              <w:rPr>
                <w:rFonts w:ascii="宋体" w:hAnsi="宋体" w:eastAsia="宋体" w:cs="仿宋_GB2312"/>
                <w:b/>
                <w:bCs/>
                <w:color w:val="auto"/>
                <w:kern w:val="0"/>
                <w:szCs w:val="21"/>
                <w:highlight w:val="none"/>
              </w:rPr>
            </w:pPr>
            <w:r>
              <w:rPr>
                <w:rFonts w:hint="eastAsia" w:ascii="宋体" w:hAnsi="宋体" w:cs="宋体"/>
                <w:b/>
                <w:bCs/>
                <w:color w:val="auto"/>
                <w:highlight w:val="none"/>
              </w:rPr>
              <w:t>违约责任</w:t>
            </w:r>
          </w:p>
        </w:tc>
        <w:tc>
          <w:tcPr>
            <w:tcW w:w="6096" w:type="dxa"/>
            <w:tcBorders>
              <w:top w:val="single" w:color="auto" w:sz="4" w:space="0"/>
              <w:left w:val="single" w:color="auto" w:sz="4" w:space="0"/>
              <w:bottom w:val="single" w:color="auto" w:sz="4" w:space="0"/>
              <w:right w:val="single" w:color="auto" w:sz="4" w:space="0"/>
            </w:tcBorders>
            <w:vAlign w:val="center"/>
          </w:tcPr>
          <w:p w14:paraId="43C6B1B9">
            <w:pPr>
              <w:pStyle w:val="56"/>
              <w:ind w:firstLine="315" w:firstLineChars="150"/>
              <w:jc w:val="both"/>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当第一中</w:t>
            </w:r>
            <w:r>
              <w:rPr>
                <w:rFonts w:hint="eastAsia" w:ascii="宋体" w:hAnsi="宋体" w:cs="宋体"/>
                <w:b w:val="0"/>
                <w:bCs w:val="0"/>
                <w:color w:val="auto"/>
                <w:sz w:val="21"/>
                <w:szCs w:val="21"/>
                <w:highlight w:val="none"/>
                <w:lang w:val="en-US" w:eastAsia="zh-CN"/>
              </w:rPr>
              <w:t>选</w:t>
            </w:r>
            <w:r>
              <w:rPr>
                <w:rFonts w:hint="eastAsia" w:ascii="宋体" w:hAnsi="宋体" w:cs="宋体"/>
                <w:b w:val="0"/>
                <w:bCs w:val="0"/>
                <w:color w:val="auto"/>
                <w:sz w:val="21"/>
                <w:szCs w:val="21"/>
                <w:highlight w:val="none"/>
              </w:rPr>
              <w:t>人若在供货过程中存在供货不及时、服务不到位或产品质量不符合要求等违约行为的，除没收履约保证金外，采购人有权向其他</w:t>
            </w:r>
            <w:r>
              <w:rPr>
                <w:rFonts w:hint="eastAsia" w:ascii="宋体" w:hAnsi="宋体" w:cs="宋体"/>
                <w:b w:val="0"/>
                <w:bCs w:val="0"/>
                <w:color w:val="auto"/>
                <w:sz w:val="21"/>
                <w:szCs w:val="21"/>
                <w:highlight w:val="none"/>
                <w:lang w:eastAsia="zh-CN"/>
              </w:rPr>
              <w:t>参选</w:t>
            </w:r>
            <w:r>
              <w:rPr>
                <w:rFonts w:hint="eastAsia" w:ascii="宋体" w:hAnsi="宋体" w:cs="宋体"/>
                <w:b w:val="0"/>
                <w:bCs w:val="0"/>
                <w:color w:val="auto"/>
                <w:sz w:val="21"/>
                <w:szCs w:val="21"/>
                <w:highlight w:val="none"/>
              </w:rPr>
              <w:t>人按第一中</w:t>
            </w:r>
            <w:r>
              <w:rPr>
                <w:rFonts w:hint="eastAsia" w:ascii="宋体" w:hAnsi="宋体" w:cs="宋体"/>
                <w:b w:val="0"/>
                <w:bCs w:val="0"/>
                <w:color w:val="auto"/>
                <w:sz w:val="21"/>
                <w:szCs w:val="21"/>
                <w:highlight w:val="none"/>
                <w:lang w:val="en-US" w:eastAsia="zh-CN"/>
              </w:rPr>
              <w:t>选</w:t>
            </w:r>
            <w:r>
              <w:rPr>
                <w:rFonts w:hint="eastAsia" w:ascii="宋体" w:hAnsi="宋体" w:cs="宋体"/>
                <w:b w:val="0"/>
                <w:bCs w:val="0"/>
                <w:color w:val="auto"/>
                <w:sz w:val="21"/>
                <w:szCs w:val="21"/>
                <w:highlight w:val="none"/>
              </w:rPr>
              <w:t>人的中</w:t>
            </w:r>
            <w:r>
              <w:rPr>
                <w:rFonts w:hint="eastAsia" w:ascii="宋体" w:hAnsi="宋体" w:cs="宋体"/>
                <w:b w:val="0"/>
                <w:bCs w:val="0"/>
                <w:color w:val="auto"/>
                <w:sz w:val="21"/>
                <w:szCs w:val="21"/>
                <w:highlight w:val="none"/>
                <w:lang w:val="en-US" w:eastAsia="zh-CN"/>
              </w:rPr>
              <w:t>选</w:t>
            </w:r>
            <w:r>
              <w:rPr>
                <w:rFonts w:hint="eastAsia" w:ascii="宋体" w:hAnsi="宋体" w:cs="宋体"/>
                <w:b w:val="0"/>
                <w:bCs w:val="0"/>
                <w:color w:val="auto"/>
                <w:sz w:val="21"/>
                <w:szCs w:val="21"/>
                <w:highlight w:val="none"/>
              </w:rPr>
              <w:t>价采购货物，不视为采购人违约。</w:t>
            </w:r>
          </w:p>
        </w:tc>
      </w:tr>
      <w:tr w14:paraId="4DE00179">
        <w:tblPrEx>
          <w:tblCellMar>
            <w:top w:w="0" w:type="dxa"/>
            <w:left w:w="108" w:type="dxa"/>
            <w:bottom w:w="0" w:type="dxa"/>
            <w:right w:w="108" w:type="dxa"/>
          </w:tblCellMar>
        </w:tblPrEx>
        <w:trPr>
          <w:trHeight w:val="934" w:hRule="atLeast"/>
        </w:trPr>
        <w:tc>
          <w:tcPr>
            <w:tcW w:w="746" w:type="dxa"/>
            <w:tcBorders>
              <w:top w:val="single" w:color="auto" w:sz="4" w:space="0"/>
              <w:left w:val="single" w:color="auto" w:sz="4" w:space="0"/>
              <w:bottom w:val="single" w:color="auto" w:sz="4" w:space="0"/>
              <w:right w:val="single" w:color="auto" w:sz="4" w:space="0"/>
            </w:tcBorders>
            <w:vAlign w:val="center"/>
          </w:tcPr>
          <w:p w14:paraId="77A81579">
            <w:pPr>
              <w:spacing w:line="420" w:lineRule="exact"/>
              <w:jc w:val="center"/>
              <w:rPr>
                <w:rFonts w:hint="default" w:ascii="宋体" w:hAnsi="宋体" w:eastAsia="宋体" w:cs="仿宋_GB2312"/>
                <w:b/>
                <w:bCs/>
                <w:color w:val="auto"/>
                <w:kern w:val="0"/>
                <w:szCs w:val="21"/>
                <w:highlight w:val="none"/>
                <w:lang w:val="en-US" w:eastAsia="zh-CN"/>
              </w:rPr>
            </w:pPr>
            <w:r>
              <w:rPr>
                <w:rFonts w:hint="eastAsia" w:ascii="宋体" w:hAnsi="宋体" w:eastAsia="宋体" w:cs="仿宋_GB2312"/>
                <w:b/>
                <w:bCs/>
                <w:color w:val="auto"/>
                <w:kern w:val="0"/>
                <w:szCs w:val="21"/>
                <w:highlight w:val="none"/>
              </w:rPr>
              <w:t>20.</w:t>
            </w:r>
            <w:r>
              <w:rPr>
                <w:rFonts w:hint="eastAsia" w:ascii="宋体" w:hAnsi="宋体" w:eastAsia="宋体" w:cs="仿宋_GB2312"/>
                <w:b/>
                <w:bCs/>
                <w:color w:val="auto"/>
                <w:kern w:val="0"/>
                <w:szCs w:val="21"/>
                <w:highlight w:val="none"/>
                <w:lang w:val="en-US" w:eastAsia="zh-CN"/>
              </w:rPr>
              <w:t>10</w:t>
            </w: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2B48DFC8">
            <w:pPr>
              <w:spacing w:line="420" w:lineRule="exact"/>
              <w:jc w:val="center"/>
              <w:rPr>
                <w:rFonts w:ascii="宋体" w:hAnsi="宋体" w:cs="宋体"/>
                <w:b/>
                <w:bCs/>
                <w:color w:val="auto"/>
                <w:highlight w:val="none"/>
              </w:rPr>
            </w:pPr>
            <w:r>
              <w:rPr>
                <w:rFonts w:hint="eastAsia" w:ascii="宋体" w:hAnsi="宋体" w:cs="宋体"/>
                <w:b/>
                <w:bCs/>
                <w:color w:val="auto"/>
                <w:highlight w:val="none"/>
              </w:rPr>
              <w:t>其他说明</w:t>
            </w:r>
          </w:p>
        </w:tc>
        <w:tc>
          <w:tcPr>
            <w:tcW w:w="6096" w:type="dxa"/>
            <w:tcBorders>
              <w:top w:val="single" w:color="auto" w:sz="4" w:space="0"/>
              <w:left w:val="single" w:color="auto" w:sz="4" w:space="0"/>
              <w:bottom w:val="single" w:color="auto" w:sz="4" w:space="0"/>
              <w:right w:val="single" w:color="auto" w:sz="4" w:space="0"/>
            </w:tcBorders>
            <w:vAlign w:val="center"/>
          </w:tcPr>
          <w:p w14:paraId="6AA3946E">
            <w:pPr>
              <w:pStyle w:val="56"/>
              <w:numPr>
                <w:ilvl w:val="0"/>
                <w:numId w:val="1"/>
              </w:numPr>
              <w:ind w:left="-1" w:leftChars="0" w:firstLine="211" w:firstLineChars="0"/>
              <w:jc w:val="both"/>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若参选人曾参与第一次招选，其报价不得高于第一次参选报价；</w:t>
            </w:r>
          </w:p>
          <w:p w14:paraId="081B254A">
            <w:pPr>
              <w:pStyle w:val="56"/>
              <w:numPr>
                <w:ilvl w:val="0"/>
                <w:numId w:val="1"/>
              </w:numPr>
              <w:ind w:left="-1" w:leftChars="0" w:firstLine="211" w:firstLineChars="0"/>
              <w:jc w:val="both"/>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rPr>
              <w:t>若出现</w:t>
            </w:r>
            <w:r>
              <w:rPr>
                <w:rFonts w:hint="eastAsia" w:ascii="宋体" w:hAnsi="宋体" w:cs="宋体"/>
                <w:b w:val="0"/>
                <w:bCs w:val="0"/>
                <w:color w:val="auto"/>
                <w:sz w:val="21"/>
                <w:szCs w:val="21"/>
                <w:highlight w:val="none"/>
                <w:lang w:val="en-US" w:eastAsia="zh-CN"/>
              </w:rPr>
              <w:t>参选</w:t>
            </w:r>
            <w:r>
              <w:rPr>
                <w:rFonts w:hint="eastAsia" w:ascii="宋体" w:hAnsi="宋体" w:cs="宋体"/>
                <w:b w:val="0"/>
                <w:bCs w:val="0"/>
                <w:color w:val="auto"/>
                <w:sz w:val="21"/>
                <w:szCs w:val="21"/>
                <w:highlight w:val="none"/>
              </w:rPr>
              <w:t>人少于三家时，</w:t>
            </w:r>
            <w:r>
              <w:rPr>
                <w:rFonts w:hint="eastAsia" w:ascii="宋体" w:hAnsi="宋体" w:cs="宋体"/>
                <w:b w:val="0"/>
                <w:bCs w:val="0"/>
                <w:color w:val="auto"/>
                <w:sz w:val="21"/>
                <w:szCs w:val="21"/>
                <w:highlight w:val="none"/>
                <w:lang w:val="en-US" w:eastAsia="zh-CN"/>
              </w:rPr>
              <w:t>但符合招选文件要求的有效参选人满足2家的，</w:t>
            </w:r>
            <w:r>
              <w:rPr>
                <w:rFonts w:hint="eastAsia" w:ascii="宋体" w:hAnsi="宋体" w:cs="宋体"/>
                <w:b w:val="0"/>
                <w:bCs w:val="0"/>
                <w:color w:val="auto"/>
                <w:sz w:val="21"/>
                <w:szCs w:val="21"/>
                <w:highlight w:val="none"/>
              </w:rPr>
              <w:t>以最低报价者确定中选人。</w:t>
            </w:r>
            <w:r>
              <w:rPr>
                <w:rFonts w:hint="eastAsia" w:ascii="宋体" w:hAnsi="宋体" w:cs="宋体"/>
                <w:b w:val="0"/>
                <w:bCs w:val="0"/>
                <w:color w:val="auto"/>
                <w:sz w:val="21"/>
                <w:szCs w:val="21"/>
                <w:highlight w:val="none"/>
                <w:lang w:val="en-US" w:eastAsia="zh-CN"/>
              </w:rPr>
              <w:t>如果仅有一家，则按流标处理后。立即邀请其中两家开展竞争性谈判。</w:t>
            </w:r>
          </w:p>
          <w:p w14:paraId="409608ED">
            <w:pPr>
              <w:pStyle w:val="56"/>
              <w:numPr>
                <w:ilvl w:val="0"/>
                <w:numId w:val="1"/>
              </w:numPr>
              <w:ind w:left="-1" w:leftChars="0" w:firstLine="211" w:firstLineChars="0"/>
              <w:jc w:val="both"/>
              <w:rPr>
                <w:rFonts w:hint="default" w:ascii="宋体" w:hAnsi="宋体" w:cs="宋体"/>
                <w:b w:val="0"/>
                <w:bCs w:val="0"/>
                <w:color w:val="auto"/>
                <w:sz w:val="21"/>
                <w:szCs w:val="21"/>
                <w:highlight w:val="none"/>
                <w:lang w:val="en-US" w:eastAsia="zh-CN"/>
              </w:rPr>
            </w:pPr>
            <w:r>
              <w:rPr>
                <w:rFonts w:ascii="宋体" w:hAnsi="宋体" w:eastAsia="宋体" w:cs="宋体"/>
                <w:b w:val="0"/>
                <w:bCs w:val="0"/>
                <w:color w:val="auto"/>
                <w:sz w:val="21"/>
                <w:szCs w:val="21"/>
                <w:highlight w:val="none"/>
              </w:rPr>
              <w:t>中选人与</w:t>
            </w:r>
            <w:r>
              <w:rPr>
                <w:rFonts w:hint="eastAsia" w:ascii="宋体" w:hAnsi="宋体" w:eastAsia="宋体" w:cs="宋体"/>
                <w:b w:val="0"/>
                <w:bCs w:val="0"/>
                <w:color w:val="auto"/>
                <w:sz w:val="21"/>
                <w:szCs w:val="21"/>
                <w:highlight w:val="none"/>
                <w:lang w:val="en-US" w:eastAsia="zh-CN"/>
              </w:rPr>
              <w:t>招选人</w:t>
            </w:r>
            <w:r>
              <w:rPr>
                <w:rFonts w:ascii="宋体" w:hAnsi="宋体" w:eastAsia="宋体" w:cs="宋体"/>
                <w:b w:val="0"/>
                <w:bCs w:val="0"/>
                <w:color w:val="auto"/>
                <w:sz w:val="21"/>
                <w:szCs w:val="21"/>
                <w:highlight w:val="none"/>
              </w:rPr>
              <w:t>签订本项目框架协议，</w:t>
            </w:r>
            <w:r>
              <w:rPr>
                <w:rFonts w:hint="eastAsia" w:ascii="宋体" w:hAnsi="宋体" w:eastAsia="宋体" w:cs="宋体"/>
                <w:b w:val="0"/>
                <w:bCs w:val="0"/>
                <w:color w:val="auto"/>
                <w:sz w:val="21"/>
                <w:szCs w:val="21"/>
                <w:highlight w:val="none"/>
                <w:lang w:val="en-US" w:eastAsia="zh-CN"/>
              </w:rPr>
              <w:t>并同意</w:t>
            </w:r>
            <w:r>
              <w:rPr>
                <w:rFonts w:ascii="宋体" w:hAnsi="宋体" w:eastAsia="宋体" w:cs="宋体"/>
                <w:b w:val="0"/>
                <w:bCs w:val="0"/>
                <w:color w:val="auto"/>
                <w:sz w:val="21"/>
                <w:szCs w:val="21"/>
                <w:highlight w:val="none"/>
              </w:rPr>
              <w:t>后续</w:t>
            </w:r>
            <w:r>
              <w:rPr>
                <w:rFonts w:hint="eastAsia" w:ascii="宋体" w:hAnsi="宋体" w:eastAsia="宋体" w:cs="宋体"/>
                <w:b w:val="0"/>
                <w:bCs w:val="0"/>
                <w:color w:val="auto"/>
                <w:sz w:val="21"/>
                <w:szCs w:val="21"/>
                <w:highlight w:val="none"/>
                <w:lang w:val="en-US" w:eastAsia="zh-CN"/>
              </w:rPr>
              <w:t>采购</w:t>
            </w:r>
            <w:r>
              <w:rPr>
                <w:rFonts w:ascii="宋体" w:hAnsi="宋体" w:eastAsia="宋体" w:cs="宋体"/>
                <w:b w:val="0"/>
                <w:bCs w:val="0"/>
                <w:color w:val="auto"/>
                <w:sz w:val="21"/>
                <w:szCs w:val="21"/>
                <w:highlight w:val="none"/>
              </w:rPr>
              <w:t>由</w:t>
            </w:r>
            <w:r>
              <w:rPr>
                <w:rFonts w:hint="eastAsia" w:ascii="宋体" w:hAnsi="宋体" w:eastAsia="宋体" w:cs="宋体"/>
                <w:b w:val="0"/>
                <w:bCs w:val="0"/>
                <w:color w:val="auto"/>
                <w:sz w:val="21"/>
                <w:szCs w:val="21"/>
                <w:highlight w:val="none"/>
                <w:lang w:val="en-US" w:eastAsia="zh-CN"/>
              </w:rPr>
              <w:t>福建省水投供应链管理有限公司</w:t>
            </w:r>
            <w:r>
              <w:rPr>
                <w:rFonts w:ascii="宋体" w:hAnsi="宋体" w:eastAsia="宋体" w:cs="宋体"/>
                <w:b w:val="0"/>
                <w:bCs w:val="0"/>
                <w:color w:val="auto"/>
                <w:sz w:val="21"/>
                <w:szCs w:val="21"/>
                <w:highlight w:val="none"/>
              </w:rPr>
              <w:t>作为实施</w:t>
            </w:r>
            <w:bookmarkStart w:id="614" w:name="_GoBack"/>
            <w:bookmarkEnd w:id="614"/>
            <w:r>
              <w:rPr>
                <w:rFonts w:ascii="宋体" w:hAnsi="宋体" w:eastAsia="宋体" w:cs="宋体"/>
                <w:b w:val="0"/>
                <w:bCs w:val="0"/>
                <w:color w:val="auto"/>
                <w:sz w:val="21"/>
                <w:szCs w:val="21"/>
                <w:highlight w:val="none"/>
              </w:rPr>
              <w:t>主体，与中选人签订供货合同，全权负责本项目供货调配、订单下发、对账结算等全部采购落地工作</w:t>
            </w:r>
            <w:r>
              <w:rPr>
                <w:rFonts w:hint="eastAsia" w:ascii="宋体" w:hAnsi="宋体" w:eastAsia="宋体" w:cs="宋体"/>
                <w:b w:val="0"/>
                <w:bCs w:val="0"/>
                <w:color w:val="auto"/>
                <w:sz w:val="21"/>
                <w:szCs w:val="21"/>
                <w:highlight w:val="none"/>
                <w:lang w:eastAsia="zh-CN"/>
              </w:rPr>
              <w:t>。</w:t>
            </w:r>
            <w:r>
              <w:rPr>
                <w:rFonts w:ascii="宋体" w:hAnsi="宋体" w:eastAsia="宋体" w:cs="宋体"/>
                <w:b w:val="0"/>
                <w:bCs w:val="0"/>
                <w:color w:val="auto"/>
                <w:sz w:val="21"/>
                <w:szCs w:val="21"/>
                <w:highlight w:val="none"/>
              </w:rPr>
              <w:t>供货合同所有技术、价格、履约、验收要求均不得违背框架协议约定</w:t>
            </w:r>
            <w:r>
              <w:rPr>
                <w:rFonts w:hint="eastAsia" w:ascii="宋体" w:hAnsi="宋体" w:eastAsia="宋体" w:cs="宋体"/>
                <w:b w:val="0"/>
                <w:bCs w:val="0"/>
                <w:color w:val="auto"/>
                <w:sz w:val="21"/>
                <w:szCs w:val="21"/>
                <w:highlight w:val="none"/>
                <w:lang w:eastAsia="zh-CN"/>
              </w:rPr>
              <w:t>。</w:t>
            </w:r>
          </w:p>
        </w:tc>
      </w:tr>
    </w:tbl>
    <w:p w14:paraId="026BB687">
      <w:pPr>
        <w:pStyle w:val="5"/>
        <w:pageBreakBefore/>
        <w:adjustRightInd w:val="0"/>
        <w:snapToGrid w:val="0"/>
        <w:spacing w:before="0" w:after="0" w:line="520" w:lineRule="exact"/>
        <w:rPr>
          <w:rFonts w:asciiTheme="majorEastAsia" w:hAnsiTheme="majorEastAsia"/>
          <w:color w:val="auto"/>
          <w:sz w:val="28"/>
          <w:szCs w:val="28"/>
          <w:highlight w:val="none"/>
        </w:rPr>
      </w:pPr>
      <w:bookmarkStart w:id="146" w:name="_Toc51340214"/>
      <w:bookmarkStart w:id="147" w:name="_Toc50734447"/>
      <w:bookmarkStart w:id="148" w:name="_Toc46475117"/>
      <w:bookmarkStart w:id="149" w:name="_Toc120110793"/>
      <w:bookmarkStart w:id="150" w:name="_Toc515441269"/>
      <w:bookmarkStart w:id="151" w:name="_Toc511644453"/>
      <w:bookmarkStart w:id="152" w:name="_Toc511645067"/>
      <w:bookmarkStart w:id="153" w:name="_Toc7186372"/>
      <w:r>
        <w:rPr>
          <w:rFonts w:hint="eastAsia" w:asciiTheme="majorEastAsia" w:hAnsiTheme="majorEastAsia"/>
          <w:color w:val="auto"/>
          <w:sz w:val="28"/>
          <w:szCs w:val="28"/>
          <w:highlight w:val="none"/>
        </w:rPr>
        <w:t>1. 总则</w:t>
      </w:r>
      <w:bookmarkEnd w:id="146"/>
      <w:bookmarkEnd w:id="147"/>
      <w:bookmarkEnd w:id="148"/>
      <w:bookmarkEnd w:id="149"/>
      <w:bookmarkEnd w:id="150"/>
      <w:bookmarkEnd w:id="151"/>
      <w:bookmarkEnd w:id="152"/>
      <w:bookmarkEnd w:id="153"/>
    </w:p>
    <w:p w14:paraId="16FC6538">
      <w:pPr>
        <w:spacing w:line="360" w:lineRule="auto"/>
        <w:ind w:firstLine="420" w:firstLineChars="200"/>
        <w:rPr>
          <w:rFonts w:ascii="宋体" w:hAnsi="宋体" w:cs="宋体"/>
          <w:color w:val="auto"/>
          <w:highlight w:val="none"/>
        </w:rPr>
      </w:pPr>
      <w:bookmarkStart w:id="154" w:name="_Toc50734459"/>
      <w:bookmarkStart w:id="155" w:name="_Toc511644465"/>
      <w:bookmarkStart w:id="156" w:name="_Toc515441281"/>
      <w:bookmarkStart w:id="157" w:name="_Toc511645079"/>
      <w:bookmarkStart w:id="158" w:name="_Toc7186384"/>
      <w:bookmarkStart w:id="159" w:name="_Toc46475129"/>
      <w:bookmarkStart w:id="160" w:name="_Toc51340226"/>
      <w:r>
        <w:rPr>
          <w:rFonts w:hint="eastAsia" w:ascii="宋体" w:hAnsi="宋体" w:cs="宋体"/>
          <w:color w:val="auto"/>
          <w:highlight w:val="none"/>
        </w:rPr>
        <w:t>本招</w:t>
      </w:r>
      <w:r>
        <w:rPr>
          <w:rFonts w:hint="eastAsia" w:ascii="宋体" w:hAnsi="宋体" w:cs="宋体"/>
          <w:color w:val="auto"/>
          <w:highlight w:val="none"/>
          <w:lang w:eastAsia="zh-CN"/>
        </w:rPr>
        <w:t>选</w:t>
      </w:r>
      <w:r>
        <w:rPr>
          <w:rFonts w:hint="eastAsia" w:ascii="宋体" w:hAnsi="宋体" w:cs="宋体"/>
          <w:color w:val="auto"/>
          <w:highlight w:val="none"/>
        </w:rPr>
        <w:t>文件仅适用于邀请</w:t>
      </w:r>
      <w:r>
        <w:rPr>
          <w:rFonts w:hint="eastAsia" w:ascii="宋体" w:hAnsi="宋体" w:cs="宋体"/>
          <w:color w:val="auto"/>
          <w:highlight w:val="none"/>
          <w:lang w:val="en-US" w:eastAsia="zh-CN"/>
        </w:rPr>
        <w:t>招选</w:t>
      </w:r>
      <w:r>
        <w:rPr>
          <w:rFonts w:hint="eastAsia" w:ascii="宋体" w:hAnsi="宋体" w:cs="宋体"/>
          <w:color w:val="auto"/>
          <w:highlight w:val="none"/>
        </w:rPr>
        <w:t>中所叙述项目的货物及服务采购。</w:t>
      </w:r>
    </w:p>
    <w:p w14:paraId="1E56E4E0">
      <w:pPr>
        <w:pStyle w:val="5"/>
        <w:adjustRightInd w:val="0"/>
        <w:snapToGrid w:val="0"/>
        <w:spacing w:before="0" w:after="0" w:line="360" w:lineRule="auto"/>
        <w:rPr>
          <w:rFonts w:asciiTheme="majorEastAsia" w:hAnsiTheme="majorEastAsia"/>
          <w:color w:val="auto"/>
          <w:sz w:val="28"/>
          <w:szCs w:val="28"/>
          <w:highlight w:val="none"/>
        </w:rPr>
      </w:pPr>
      <w:bookmarkStart w:id="161" w:name="_Toc120110794"/>
      <w:r>
        <w:rPr>
          <w:rFonts w:hint="eastAsia" w:asciiTheme="majorEastAsia" w:hAnsiTheme="majorEastAsia"/>
          <w:color w:val="auto"/>
          <w:sz w:val="28"/>
          <w:szCs w:val="28"/>
          <w:highlight w:val="none"/>
        </w:rPr>
        <w:t>2. 招</w:t>
      </w:r>
      <w:r>
        <w:rPr>
          <w:rFonts w:hint="eastAsia" w:asciiTheme="majorEastAsia" w:hAnsiTheme="majorEastAsia"/>
          <w:color w:val="auto"/>
          <w:sz w:val="28"/>
          <w:szCs w:val="28"/>
          <w:highlight w:val="none"/>
          <w:lang w:eastAsia="zh-CN"/>
        </w:rPr>
        <w:t>选</w:t>
      </w:r>
      <w:r>
        <w:rPr>
          <w:rFonts w:hint="eastAsia" w:asciiTheme="majorEastAsia" w:hAnsiTheme="majorEastAsia"/>
          <w:color w:val="auto"/>
          <w:sz w:val="28"/>
          <w:szCs w:val="28"/>
          <w:highlight w:val="none"/>
        </w:rPr>
        <w:t>文件</w:t>
      </w:r>
      <w:bookmarkEnd w:id="154"/>
      <w:bookmarkEnd w:id="155"/>
      <w:bookmarkEnd w:id="156"/>
      <w:bookmarkEnd w:id="157"/>
      <w:bookmarkEnd w:id="158"/>
      <w:bookmarkEnd w:id="159"/>
      <w:bookmarkEnd w:id="160"/>
      <w:bookmarkEnd w:id="161"/>
    </w:p>
    <w:p w14:paraId="684F7784">
      <w:pPr>
        <w:pStyle w:val="6"/>
        <w:snapToGrid w:val="0"/>
        <w:spacing w:before="0" w:after="0" w:line="360" w:lineRule="auto"/>
        <w:rPr>
          <w:rFonts w:asciiTheme="majorEastAsia" w:hAnsiTheme="majorEastAsia" w:eastAsiaTheme="majorEastAsia"/>
          <w:color w:val="auto"/>
          <w:sz w:val="28"/>
          <w:szCs w:val="28"/>
          <w:highlight w:val="none"/>
        </w:rPr>
      </w:pPr>
      <w:bookmarkStart w:id="162" w:name="_Toc511644466"/>
      <w:bookmarkStart w:id="163" w:name="_Toc120110795"/>
      <w:bookmarkStart w:id="164" w:name="_Toc515441282"/>
      <w:bookmarkStart w:id="165" w:name="_Toc7186385"/>
      <w:bookmarkStart w:id="166" w:name="_Toc46475130"/>
      <w:bookmarkStart w:id="167" w:name="_Toc51340227"/>
      <w:bookmarkStart w:id="168" w:name="_Toc50734460"/>
      <w:bookmarkStart w:id="169" w:name="_Toc511645080"/>
      <w:r>
        <w:rPr>
          <w:rFonts w:hint="eastAsia" w:asciiTheme="majorEastAsia" w:hAnsiTheme="majorEastAsia" w:eastAsiaTheme="majorEastAsia"/>
          <w:color w:val="auto"/>
          <w:sz w:val="28"/>
          <w:szCs w:val="28"/>
          <w:highlight w:val="none"/>
        </w:rPr>
        <w:t>2.1 招</w:t>
      </w:r>
      <w:r>
        <w:rPr>
          <w:rFonts w:hint="eastAsia" w:asciiTheme="majorEastAsia" w:hAnsiTheme="majorEastAsia" w:eastAsiaTheme="majorEastAsia"/>
          <w:color w:val="auto"/>
          <w:sz w:val="28"/>
          <w:szCs w:val="28"/>
          <w:highlight w:val="none"/>
          <w:lang w:eastAsia="zh-CN"/>
        </w:rPr>
        <w:t>选</w:t>
      </w:r>
      <w:r>
        <w:rPr>
          <w:rFonts w:hint="eastAsia" w:asciiTheme="majorEastAsia" w:hAnsiTheme="majorEastAsia" w:eastAsiaTheme="majorEastAsia"/>
          <w:color w:val="auto"/>
          <w:sz w:val="28"/>
          <w:szCs w:val="28"/>
          <w:highlight w:val="none"/>
        </w:rPr>
        <w:t>文件的组成</w:t>
      </w:r>
      <w:bookmarkEnd w:id="162"/>
      <w:bookmarkEnd w:id="163"/>
      <w:bookmarkEnd w:id="164"/>
      <w:bookmarkEnd w:id="165"/>
      <w:bookmarkEnd w:id="166"/>
      <w:bookmarkEnd w:id="167"/>
      <w:bookmarkEnd w:id="168"/>
      <w:bookmarkEnd w:id="169"/>
    </w:p>
    <w:p w14:paraId="704420DF">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本招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文件包括：</w:t>
      </w:r>
    </w:p>
    <w:p w14:paraId="6541C9A1">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（1）招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公告（或</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邀请书）；</w:t>
      </w:r>
    </w:p>
    <w:p w14:paraId="4943645B">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（2）</w:t>
      </w:r>
      <w:r>
        <w:rPr>
          <w:rFonts w:hint="eastAsia" w:asciiTheme="minorEastAsia" w:hAnsiTheme="minorEastAsia"/>
          <w:color w:val="auto"/>
          <w:szCs w:val="21"/>
          <w:highlight w:val="none"/>
          <w:lang w:val="en-US" w:eastAsia="zh-CN"/>
        </w:rPr>
        <w:t>参</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人须知；</w:t>
      </w:r>
    </w:p>
    <w:p w14:paraId="69DE091F">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（3）评</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办法；</w:t>
      </w:r>
    </w:p>
    <w:p w14:paraId="5ADC35F9">
      <w:pPr>
        <w:widowControl/>
        <w:shd w:val="clear" w:color="auto" w:fill="FFFFFF"/>
        <w:snapToGrid w:val="0"/>
        <w:spacing w:line="360" w:lineRule="auto"/>
        <w:ind w:firstLine="420" w:firstLineChars="200"/>
        <w:jc w:val="left"/>
        <w:rPr>
          <w:rFonts w:hint="default"/>
          <w:color w:val="auto"/>
          <w:highlight w:val="none"/>
          <w:lang w:val="en-US" w:eastAsia="zh-CN"/>
        </w:rPr>
      </w:pPr>
      <w:r>
        <w:rPr>
          <w:rFonts w:hint="eastAsia" w:asciiTheme="minorEastAsia" w:hAnsiTheme="minorEastAsia"/>
          <w:color w:val="auto"/>
          <w:szCs w:val="21"/>
          <w:highlight w:val="none"/>
        </w:rPr>
        <w:t>（4）合同</w:t>
      </w:r>
      <w:r>
        <w:rPr>
          <w:rFonts w:hint="eastAsia" w:asciiTheme="minorEastAsia" w:hAnsiTheme="minorEastAsia"/>
          <w:color w:val="auto"/>
          <w:szCs w:val="21"/>
          <w:highlight w:val="none"/>
          <w:lang w:val="en-US" w:eastAsia="zh-CN"/>
        </w:rPr>
        <w:t>技术标准和要求；</w:t>
      </w:r>
    </w:p>
    <w:p w14:paraId="45F372D8">
      <w:pPr>
        <w:widowControl/>
        <w:shd w:val="clear" w:color="auto" w:fill="FFFFFF"/>
        <w:snapToGrid w:val="0"/>
        <w:spacing w:line="360" w:lineRule="auto"/>
        <w:ind w:firstLine="420" w:firstLineChars="200"/>
        <w:jc w:val="left"/>
        <w:rPr>
          <w:rFonts w:hint="default" w:asciiTheme="minorEastAsia" w:hAnsiTheme="minorEastAsia" w:eastAsiaTheme="minorEastAsia"/>
          <w:color w:val="auto"/>
          <w:szCs w:val="21"/>
          <w:highlight w:val="none"/>
          <w:lang w:val="en-US" w:eastAsia="zh-CN"/>
        </w:rPr>
      </w:pPr>
      <w:r>
        <w:rPr>
          <w:rFonts w:hint="eastAsia" w:asciiTheme="minorEastAsia" w:hAnsiTheme="minorEastAsia"/>
          <w:color w:val="auto"/>
          <w:szCs w:val="21"/>
          <w:highlight w:val="none"/>
        </w:rPr>
        <w:t>（</w:t>
      </w:r>
      <w:r>
        <w:rPr>
          <w:rFonts w:hint="eastAsia" w:asciiTheme="minorEastAsia" w:hAnsiTheme="minorEastAsia"/>
          <w:color w:val="auto"/>
          <w:szCs w:val="21"/>
          <w:highlight w:val="none"/>
          <w:lang w:val="en-US" w:eastAsia="zh-CN"/>
        </w:rPr>
        <w:t>5</w:t>
      </w:r>
      <w:r>
        <w:rPr>
          <w:rFonts w:hint="eastAsia" w:asciiTheme="minorEastAsia" w:hAnsiTheme="minorEastAsia"/>
          <w:color w:val="auto"/>
          <w:szCs w:val="21"/>
          <w:highlight w:val="none"/>
        </w:rPr>
        <w:t>）</w:t>
      </w:r>
      <w:r>
        <w:rPr>
          <w:rFonts w:hint="eastAsia" w:asciiTheme="minorEastAsia" w:hAnsiTheme="minorEastAsia"/>
          <w:color w:val="auto"/>
          <w:szCs w:val="21"/>
          <w:highlight w:val="none"/>
          <w:lang w:val="en-US" w:eastAsia="zh-CN"/>
        </w:rPr>
        <w:t>合同条款及格式（框架协议范本）；</w:t>
      </w:r>
    </w:p>
    <w:p w14:paraId="3675CA47">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lang w:val="en-US" w:eastAsia="zh-CN"/>
        </w:rPr>
        <w:t>（6）参选</w:t>
      </w:r>
      <w:r>
        <w:rPr>
          <w:rFonts w:hint="eastAsia" w:asciiTheme="minorEastAsia" w:hAnsiTheme="minorEastAsia"/>
          <w:color w:val="auto"/>
          <w:szCs w:val="21"/>
          <w:highlight w:val="none"/>
        </w:rPr>
        <w:t>文件格式；</w:t>
      </w:r>
    </w:p>
    <w:p w14:paraId="3D19D5BC">
      <w:pPr>
        <w:pStyle w:val="6"/>
        <w:snapToGrid w:val="0"/>
        <w:spacing w:before="0" w:after="0" w:line="360" w:lineRule="auto"/>
        <w:rPr>
          <w:rFonts w:asciiTheme="majorEastAsia" w:hAnsiTheme="majorEastAsia" w:eastAsiaTheme="majorEastAsia"/>
          <w:color w:val="auto"/>
          <w:sz w:val="28"/>
          <w:szCs w:val="28"/>
          <w:highlight w:val="none"/>
        </w:rPr>
      </w:pPr>
      <w:bookmarkStart w:id="170" w:name="_Toc511644467"/>
      <w:bookmarkStart w:id="171" w:name="_Toc515441283"/>
      <w:bookmarkStart w:id="172" w:name="_Toc51340228"/>
      <w:bookmarkStart w:id="173" w:name="_Toc46475131"/>
      <w:bookmarkStart w:id="174" w:name="_Toc120110796"/>
      <w:bookmarkStart w:id="175" w:name="_Toc511645081"/>
      <w:bookmarkStart w:id="176" w:name="_Toc7186386"/>
      <w:bookmarkStart w:id="177" w:name="_Toc50734461"/>
      <w:r>
        <w:rPr>
          <w:rFonts w:hint="eastAsia" w:asciiTheme="majorEastAsia" w:hAnsiTheme="majorEastAsia" w:eastAsiaTheme="majorEastAsia"/>
          <w:color w:val="auto"/>
          <w:sz w:val="28"/>
          <w:szCs w:val="28"/>
          <w:highlight w:val="none"/>
        </w:rPr>
        <w:t>2.2 招</w:t>
      </w:r>
      <w:r>
        <w:rPr>
          <w:rFonts w:hint="eastAsia" w:asciiTheme="majorEastAsia" w:hAnsiTheme="majorEastAsia" w:eastAsiaTheme="majorEastAsia"/>
          <w:color w:val="auto"/>
          <w:sz w:val="28"/>
          <w:szCs w:val="28"/>
          <w:highlight w:val="none"/>
          <w:lang w:eastAsia="zh-CN"/>
        </w:rPr>
        <w:t>选</w:t>
      </w:r>
      <w:r>
        <w:rPr>
          <w:rFonts w:hint="eastAsia" w:asciiTheme="majorEastAsia" w:hAnsiTheme="majorEastAsia" w:eastAsiaTheme="majorEastAsia"/>
          <w:color w:val="auto"/>
          <w:sz w:val="28"/>
          <w:szCs w:val="28"/>
          <w:highlight w:val="none"/>
        </w:rPr>
        <w:t>文件的澄清</w:t>
      </w:r>
      <w:bookmarkEnd w:id="170"/>
      <w:bookmarkEnd w:id="171"/>
      <w:bookmarkEnd w:id="172"/>
      <w:bookmarkEnd w:id="173"/>
      <w:bookmarkEnd w:id="174"/>
      <w:bookmarkEnd w:id="175"/>
      <w:bookmarkEnd w:id="176"/>
      <w:bookmarkEnd w:id="177"/>
    </w:p>
    <w:p w14:paraId="3DF275B6">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 xml:space="preserve">2.2.1 </w:t>
      </w:r>
      <w:r>
        <w:rPr>
          <w:rFonts w:hint="eastAsia" w:asciiTheme="minorEastAsia" w:hAnsiTheme="minorEastAsia"/>
          <w:color w:val="auto"/>
          <w:szCs w:val="21"/>
          <w:highlight w:val="none"/>
          <w:lang w:val="en-US" w:eastAsia="zh-CN"/>
        </w:rPr>
        <w:t>参选人</w:t>
      </w:r>
      <w:r>
        <w:rPr>
          <w:rFonts w:hint="eastAsia" w:asciiTheme="minorEastAsia" w:hAnsiTheme="minorEastAsia"/>
          <w:color w:val="auto"/>
          <w:szCs w:val="21"/>
          <w:highlight w:val="none"/>
        </w:rPr>
        <w:t>应仔细阅读和检查招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文件的全部内容。如发现缺页或附件不全，应及时向招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人提出，以便补齐。如有疑问，应按</w:t>
      </w:r>
      <w:r>
        <w:rPr>
          <w:rFonts w:hint="eastAsia" w:asciiTheme="minorEastAsia" w:hAnsiTheme="minorEastAsia"/>
          <w:color w:val="auto"/>
          <w:szCs w:val="21"/>
          <w:highlight w:val="none"/>
          <w:lang w:val="en-US" w:eastAsia="zh-CN"/>
        </w:rPr>
        <w:t>参选人</w:t>
      </w:r>
      <w:r>
        <w:rPr>
          <w:rFonts w:hint="eastAsia" w:asciiTheme="minorEastAsia" w:hAnsiTheme="minorEastAsia"/>
          <w:color w:val="auto"/>
          <w:szCs w:val="21"/>
          <w:highlight w:val="none"/>
        </w:rPr>
        <w:t>须知前附表规定的时间和形式将提出的问题送达招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人，要求招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人对招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文件予以澄清。</w:t>
      </w:r>
    </w:p>
    <w:p w14:paraId="312770C2">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2.2.2 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文件的澄清以</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人须知前附表规定的形式发给所有潜在的</w:t>
      </w:r>
      <w:r>
        <w:rPr>
          <w:rFonts w:hint="eastAsia" w:asciiTheme="minorEastAsia" w:hAnsiTheme="minorEastAsia"/>
          <w:color w:val="auto"/>
          <w:szCs w:val="21"/>
          <w:highlight w:val="none"/>
          <w:lang w:val="en-US" w:eastAsia="zh-CN"/>
        </w:rPr>
        <w:t>参选人</w:t>
      </w:r>
      <w:r>
        <w:rPr>
          <w:rFonts w:hint="eastAsia" w:asciiTheme="minorEastAsia" w:hAnsiTheme="minorEastAsia"/>
          <w:color w:val="auto"/>
          <w:szCs w:val="21"/>
          <w:highlight w:val="none"/>
        </w:rPr>
        <w:t>，但不指明澄清问题的来源。</w:t>
      </w:r>
    </w:p>
    <w:p w14:paraId="220BCC4B">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2.2.3</w:t>
      </w:r>
      <w:r>
        <w:rPr>
          <w:rFonts w:hint="eastAsia" w:ascii="宋体" w:hAnsi="宋体"/>
          <w:color w:val="auto"/>
          <w:szCs w:val="21"/>
          <w:highlight w:val="none"/>
          <w:lang w:val="en-US" w:eastAsia="zh-CN"/>
        </w:rPr>
        <w:t>参选人</w:t>
      </w:r>
      <w:r>
        <w:rPr>
          <w:rFonts w:hint="eastAsia" w:ascii="宋体" w:hAnsi="宋体"/>
          <w:color w:val="auto"/>
          <w:szCs w:val="21"/>
          <w:highlight w:val="none"/>
        </w:rPr>
        <w:t>应自行留意招</w:t>
      </w:r>
      <w:r>
        <w:rPr>
          <w:rFonts w:hint="eastAsia" w:ascii="宋体" w:hAnsi="宋体"/>
          <w:color w:val="auto"/>
          <w:szCs w:val="21"/>
          <w:highlight w:val="none"/>
          <w:lang w:eastAsia="zh-CN"/>
        </w:rPr>
        <w:t>选</w:t>
      </w:r>
      <w:r>
        <w:rPr>
          <w:rFonts w:hint="eastAsia" w:ascii="宋体" w:hAnsi="宋体"/>
          <w:color w:val="auto"/>
          <w:szCs w:val="21"/>
          <w:highlight w:val="none"/>
        </w:rPr>
        <w:t>人发布的招</w:t>
      </w:r>
      <w:r>
        <w:rPr>
          <w:rFonts w:hint="eastAsia" w:ascii="宋体" w:hAnsi="宋体"/>
          <w:color w:val="auto"/>
          <w:szCs w:val="21"/>
          <w:highlight w:val="none"/>
          <w:lang w:eastAsia="zh-CN"/>
        </w:rPr>
        <w:t>选</w:t>
      </w:r>
      <w:r>
        <w:rPr>
          <w:rFonts w:hint="eastAsia" w:ascii="宋体" w:hAnsi="宋体"/>
          <w:color w:val="auto"/>
          <w:szCs w:val="21"/>
          <w:highlight w:val="none"/>
        </w:rPr>
        <w:t>文件的澄清</w:t>
      </w:r>
      <w:r>
        <w:rPr>
          <w:rFonts w:hint="eastAsia" w:asciiTheme="minorEastAsia" w:hAnsiTheme="minorEastAsia"/>
          <w:color w:val="auto"/>
          <w:szCs w:val="21"/>
          <w:highlight w:val="none"/>
        </w:rPr>
        <w:t>。</w:t>
      </w:r>
    </w:p>
    <w:p w14:paraId="1AADF835">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2.2.4 除非招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人认为确有必要答复，否则，招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人有权拒绝回复</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人在规定的时间后的任何澄清要求。</w:t>
      </w:r>
    </w:p>
    <w:p w14:paraId="682ED3BB">
      <w:pPr>
        <w:pStyle w:val="6"/>
        <w:snapToGrid w:val="0"/>
        <w:spacing w:before="0" w:after="0" w:line="360" w:lineRule="auto"/>
        <w:rPr>
          <w:rFonts w:asciiTheme="majorEastAsia" w:hAnsiTheme="majorEastAsia" w:eastAsiaTheme="majorEastAsia"/>
          <w:color w:val="auto"/>
          <w:sz w:val="28"/>
          <w:szCs w:val="28"/>
          <w:highlight w:val="none"/>
        </w:rPr>
      </w:pPr>
      <w:bookmarkStart w:id="178" w:name="_Toc120110797"/>
      <w:bookmarkStart w:id="179" w:name="_Toc51340229"/>
      <w:bookmarkStart w:id="180" w:name="_Toc7186387"/>
      <w:bookmarkStart w:id="181" w:name="_Toc511644468"/>
      <w:bookmarkStart w:id="182" w:name="_Toc50734462"/>
      <w:bookmarkStart w:id="183" w:name="_Toc511645082"/>
      <w:bookmarkStart w:id="184" w:name="_Toc46475132"/>
      <w:bookmarkStart w:id="185" w:name="_Toc515441284"/>
      <w:r>
        <w:rPr>
          <w:rFonts w:hint="eastAsia" w:asciiTheme="majorEastAsia" w:hAnsiTheme="majorEastAsia" w:eastAsiaTheme="majorEastAsia"/>
          <w:color w:val="auto"/>
          <w:sz w:val="28"/>
          <w:szCs w:val="28"/>
          <w:highlight w:val="none"/>
        </w:rPr>
        <w:t>2.3 招</w:t>
      </w:r>
      <w:r>
        <w:rPr>
          <w:rFonts w:hint="eastAsia" w:asciiTheme="majorEastAsia" w:hAnsiTheme="majorEastAsia" w:eastAsiaTheme="majorEastAsia"/>
          <w:color w:val="auto"/>
          <w:sz w:val="28"/>
          <w:szCs w:val="28"/>
          <w:highlight w:val="none"/>
          <w:lang w:eastAsia="zh-CN"/>
        </w:rPr>
        <w:t>选</w:t>
      </w:r>
      <w:r>
        <w:rPr>
          <w:rFonts w:hint="eastAsia" w:asciiTheme="majorEastAsia" w:hAnsiTheme="majorEastAsia" w:eastAsiaTheme="majorEastAsia"/>
          <w:color w:val="auto"/>
          <w:sz w:val="28"/>
          <w:szCs w:val="28"/>
          <w:highlight w:val="none"/>
        </w:rPr>
        <w:t>文件的修改</w:t>
      </w:r>
      <w:bookmarkEnd w:id="178"/>
      <w:bookmarkEnd w:id="179"/>
      <w:bookmarkEnd w:id="180"/>
      <w:bookmarkEnd w:id="181"/>
      <w:bookmarkEnd w:id="182"/>
      <w:bookmarkEnd w:id="183"/>
      <w:bookmarkEnd w:id="184"/>
      <w:bookmarkEnd w:id="185"/>
    </w:p>
    <w:p w14:paraId="54833BDF">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2.3.1 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人以</w:t>
      </w:r>
      <w:r>
        <w:rPr>
          <w:rFonts w:hint="eastAsia" w:asciiTheme="minorEastAsia" w:hAnsiTheme="minorEastAsia"/>
          <w:color w:val="auto"/>
          <w:szCs w:val="21"/>
          <w:highlight w:val="none"/>
          <w:lang w:val="en-US" w:eastAsia="zh-CN"/>
        </w:rPr>
        <w:t>参选人</w:t>
      </w:r>
      <w:r>
        <w:rPr>
          <w:rFonts w:hint="eastAsia" w:asciiTheme="minorEastAsia" w:hAnsiTheme="minorEastAsia"/>
          <w:color w:val="auto"/>
          <w:szCs w:val="21"/>
          <w:highlight w:val="none"/>
        </w:rPr>
        <w:t>须知前附表规定的形式修改招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文件，并通知所有已购买招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文件的</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人。修改招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文件的时间距本章第4.2.1项规定的</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截止时间不足15日的，并且修改内容可能影响</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文件编制的，将相应延长</w:t>
      </w:r>
      <w:r>
        <w:rPr>
          <w:rFonts w:hint="eastAsia" w:asciiTheme="minorEastAsia" w:hAnsiTheme="minorEastAsia"/>
          <w:color w:val="auto"/>
          <w:szCs w:val="21"/>
          <w:highlight w:val="none"/>
          <w:lang w:eastAsia="zh-CN"/>
        </w:rPr>
        <w:t>参选</w:t>
      </w:r>
      <w:r>
        <w:rPr>
          <w:rFonts w:hint="eastAsia" w:asciiTheme="minorEastAsia" w:hAnsiTheme="minorEastAsia"/>
          <w:color w:val="auto"/>
          <w:szCs w:val="21"/>
          <w:highlight w:val="none"/>
        </w:rPr>
        <w:t>截止时间。</w:t>
      </w:r>
    </w:p>
    <w:p w14:paraId="253747CB">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2.3.2</w:t>
      </w:r>
      <w:r>
        <w:rPr>
          <w:rFonts w:hint="eastAsia" w:ascii="宋体" w:hAnsi="宋体"/>
          <w:color w:val="auto"/>
          <w:szCs w:val="21"/>
          <w:highlight w:val="none"/>
          <w:lang w:val="en-US" w:eastAsia="zh-CN"/>
        </w:rPr>
        <w:t>参选</w:t>
      </w:r>
      <w:r>
        <w:rPr>
          <w:rFonts w:hint="eastAsia" w:ascii="宋体" w:hAnsi="宋体"/>
          <w:color w:val="auto"/>
          <w:szCs w:val="21"/>
          <w:highlight w:val="none"/>
        </w:rPr>
        <w:t>人应自行留意招</w:t>
      </w:r>
      <w:r>
        <w:rPr>
          <w:rFonts w:hint="eastAsia" w:ascii="宋体" w:hAnsi="宋体"/>
          <w:color w:val="auto"/>
          <w:szCs w:val="21"/>
          <w:highlight w:val="none"/>
          <w:lang w:eastAsia="zh-CN"/>
        </w:rPr>
        <w:t>选</w:t>
      </w:r>
      <w:r>
        <w:rPr>
          <w:rFonts w:hint="eastAsia" w:ascii="宋体" w:hAnsi="宋体"/>
          <w:color w:val="auto"/>
          <w:szCs w:val="21"/>
          <w:highlight w:val="none"/>
        </w:rPr>
        <w:t>人发布的招</w:t>
      </w:r>
      <w:r>
        <w:rPr>
          <w:rFonts w:hint="eastAsia" w:ascii="宋体" w:hAnsi="宋体"/>
          <w:color w:val="auto"/>
          <w:szCs w:val="21"/>
          <w:highlight w:val="none"/>
          <w:lang w:eastAsia="zh-CN"/>
        </w:rPr>
        <w:t>选</w:t>
      </w:r>
      <w:r>
        <w:rPr>
          <w:rFonts w:hint="eastAsia" w:ascii="宋体" w:hAnsi="宋体"/>
          <w:color w:val="auto"/>
          <w:szCs w:val="21"/>
          <w:highlight w:val="none"/>
        </w:rPr>
        <w:t>文件的澄清</w:t>
      </w:r>
      <w:r>
        <w:rPr>
          <w:rFonts w:hint="eastAsia" w:asciiTheme="minorEastAsia" w:hAnsiTheme="minorEastAsia"/>
          <w:color w:val="auto"/>
          <w:szCs w:val="21"/>
          <w:highlight w:val="none"/>
        </w:rPr>
        <w:t>。</w:t>
      </w:r>
    </w:p>
    <w:p w14:paraId="6E5F86EC">
      <w:pPr>
        <w:pStyle w:val="6"/>
        <w:snapToGrid w:val="0"/>
        <w:spacing w:before="0" w:after="0" w:line="360" w:lineRule="auto"/>
        <w:rPr>
          <w:rFonts w:asciiTheme="majorEastAsia" w:hAnsiTheme="majorEastAsia" w:eastAsiaTheme="majorEastAsia"/>
          <w:color w:val="auto"/>
          <w:sz w:val="28"/>
          <w:szCs w:val="28"/>
          <w:highlight w:val="none"/>
        </w:rPr>
      </w:pPr>
      <w:bookmarkStart w:id="186" w:name="_Toc120110798"/>
      <w:bookmarkStart w:id="187" w:name="_Toc7186388"/>
      <w:bookmarkStart w:id="188" w:name="_Toc515441285"/>
      <w:bookmarkStart w:id="189" w:name="_Toc511644469"/>
      <w:bookmarkStart w:id="190" w:name="_Toc511645083"/>
      <w:bookmarkStart w:id="191" w:name="_Toc50734463"/>
      <w:bookmarkStart w:id="192" w:name="_Toc46475133"/>
      <w:bookmarkStart w:id="193" w:name="_Toc51340230"/>
      <w:r>
        <w:rPr>
          <w:rFonts w:hint="eastAsia" w:asciiTheme="majorEastAsia" w:hAnsiTheme="majorEastAsia" w:eastAsiaTheme="majorEastAsia"/>
          <w:color w:val="auto"/>
          <w:sz w:val="28"/>
          <w:szCs w:val="28"/>
          <w:highlight w:val="none"/>
        </w:rPr>
        <w:t>2.4 招</w:t>
      </w:r>
      <w:r>
        <w:rPr>
          <w:rFonts w:hint="eastAsia" w:asciiTheme="majorEastAsia" w:hAnsiTheme="majorEastAsia" w:eastAsiaTheme="majorEastAsia"/>
          <w:color w:val="auto"/>
          <w:sz w:val="28"/>
          <w:szCs w:val="28"/>
          <w:highlight w:val="none"/>
          <w:lang w:eastAsia="zh-CN"/>
        </w:rPr>
        <w:t>选</w:t>
      </w:r>
      <w:r>
        <w:rPr>
          <w:rFonts w:hint="eastAsia" w:asciiTheme="majorEastAsia" w:hAnsiTheme="majorEastAsia" w:eastAsiaTheme="majorEastAsia"/>
          <w:color w:val="auto"/>
          <w:sz w:val="28"/>
          <w:szCs w:val="28"/>
          <w:highlight w:val="none"/>
        </w:rPr>
        <w:t>文件的异议</w:t>
      </w:r>
      <w:bookmarkEnd w:id="186"/>
      <w:bookmarkEnd w:id="187"/>
      <w:bookmarkEnd w:id="188"/>
      <w:bookmarkEnd w:id="189"/>
      <w:bookmarkEnd w:id="190"/>
      <w:bookmarkEnd w:id="191"/>
      <w:bookmarkEnd w:id="192"/>
      <w:bookmarkEnd w:id="193"/>
    </w:p>
    <w:p w14:paraId="69EFFB02">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人或者其他利害关系人对招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文件有异议的，应当在</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截止时间</w:t>
      </w:r>
      <w:r>
        <w:rPr>
          <w:rFonts w:hint="eastAsia" w:asciiTheme="minorEastAsia" w:hAnsiTheme="minorEastAsia"/>
          <w:color w:val="auto"/>
          <w:szCs w:val="21"/>
          <w:highlight w:val="none"/>
          <w:lang w:val="en-US" w:eastAsia="zh-CN"/>
        </w:rPr>
        <w:t>7</w:t>
      </w:r>
      <w:r>
        <w:rPr>
          <w:rFonts w:hint="eastAsia" w:asciiTheme="minorEastAsia" w:hAnsiTheme="minorEastAsia"/>
          <w:color w:val="auto"/>
          <w:szCs w:val="21"/>
          <w:highlight w:val="none"/>
        </w:rPr>
        <w:t>日前</w:t>
      </w:r>
      <w:r>
        <w:rPr>
          <w:rFonts w:hint="eastAsia" w:ascii="宋体" w:hAnsi="宋体"/>
          <w:color w:val="auto"/>
          <w:szCs w:val="21"/>
          <w:highlight w:val="none"/>
        </w:rPr>
        <w:t>以不署名、不盖章的形式通过电子交易平台提出</w:t>
      </w:r>
      <w:r>
        <w:rPr>
          <w:rFonts w:hint="eastAsia" w:asciiTheme="minorEastAsia" w:hAnsiTheme="minorEastAsia"/>
          <w:color w:val="auto"/>
          <w:szCs w:val="21"/>
          <w:highlight w:val="none"/>
        </w:rPr>
        <w:t>。招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人将在收到异议之日起3日内作出答复；作出答复前，将暂停招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活动。</w:t>
      </w:r>
    </w:p>
    <w:p w14:paraId="6191380C">
      <w:pPr>
        <w:pStyle w:val="5"/>
        <w:adjustRightInd w:val="0"/>
        <w:snapToGrid w:val="0"/>
        <w:spacing w:before="0" w:after="0" w:line="360" w:lineRule="auto"/>
        <w:rPr>
          <w:rFonts w:asciiTheme="majorEastAsia" w:hAnsiTheme="majorEastAsia"/>
          <w:color w:val="auto"/>
          <w:sz w:val="28"/>
          <w:szCs w:val="28"/>
          <w:highlight w:val="none"/>
        </w:rPr>
      </w:pPr>
      <w:bookmarkStart w:id="194" w:name="_Toc120110799"/>
      <w:bookmarkStart w:id="195" w:name="_Toc7186389"/>
      <w:bookmarkStart w:id="196" w:name="_Toc511645084"/>
      <w:bookmarkStart w:id="197" w:name="_Toc515441286"/>
      <w:bookmarkStart w:id="198" w:name="_Toc511644470"/>
      <w:bookmarkStart w:id="199" w:name="_Toc46475134"/>
      <w:bookmarkStart w:id="200" w:name="_Toc51340231"/>
      <w:bookmarkStart w:id="201" w:name="_Toc50734464"/>
      <w:r>
        <w:rPr>
          <w:rFonts w:hint="eastAsia" w:asciiTheme="majorEastAsia" w:hAnsiTheme="majorEastAsia"/>
          <w:color w:val="auto"/>
          <w:sz w:val="28"/>
          <w:szCs w:val="28"/>
          <w:highlight w:val="none"/>
        </w:rPr>
        <w:t xml:space="preserve">3. </w:t>
      </w:r>
      <w:r>
        <w:rPr>
          <w:rFonts w:hint="eastAsia" w:asciiTheme="majorEastAsia" w:hAnsiTheme="majorEastAsia"/>
          <w:color w:val="auto"/>
          <w:sz w:val="28"/>
          <w:szCs w:val="28"/>
          <w:highlight w:val="none"/>
          <w:lang w:val="en-US" w:eastAsia="zh-CN"/>
        </w:rPr>
        <w:t>参选</w:t>
      </w:r>
      <w:r>
        <w:rPr>
          <w:rFonts w:hint="eastAsia" w:asciiTheme="majorEastAsia" w:hAnsiTheme="majorEastAsia"/>
          <w:color w:val="auto"/>
          <w:sz w:val="28"/>
          <w:szCs w:val="28"/>
          <w:highlight w:val="none"/>
        </w:rPr>
        <w:t>文件</w:t>
      </w:r>
      <w:bookmarkEnd w:id="194"/>
      <w:bookmarkEnd w:id="195"/>
      <w:bookmarkEnd w:id="196"/>
      <w:bookmarkEnd w:id="197"/>
      <w:bookmarkEnd w:id="198"/>
      <w:bookmarkEnd w:id="199"/>
      <w:bookmarkEnd w:id="200"/>
      <w:bookmarkEnd w:id="201"/>
    </w:p>
    <w:p w14:paraId="15C9796D">
      <w:pPr>
        <w:pStyle w:val="6"/>
        <w:snapToGrid w:val="0"/>
        <w:spacing w:before="0" w:after="0" w:line="360" w:lineRule="auto"/>
        <w:rPr>
          <w:rFonts w:asciiTheme="majorEastAsia" w:hAnsiTheme="majorEastAsia" w:eastAsiaTheme="majorEastAsia"/>
          <w:color w:val="auto"/>
          <w:sz w:val="28"/>
          <w:szCs w:val="28"/>
          <w:highlight w:val="none"/>
        </w:rPr>
      </w:pPr>
      <w:bookmarkStart w:id="202" w:name="_Toc120110800"/>
      <w:bookmarkStart w:id="203" w:name="_Toc51340232"/>
      <w:bookmarkStart w:id="204" w:name="_Toc46475135"/>
      <w:bookmarkStart w:id="205" w:name="_Toc515441287"/>
      <w:bookmarkStart w:id="206" w:name="_Toc511644471"/>
      <w:bookmarkStart w:id="207" w:name="_Toc50734465"/>
      <w:bookmarkStart w:id="208" w:name="_Toc7186390"/>
      <w:bookmarkStart w:id="209" w:name="_Toc511645085"/>
      <w:r>
        <w:rPr>
          <w:rFonts w:hint="eastAsia" w:asciiTheme="majorEastAsia" w:hAnsiTheme="majorEastAsia" w:eastAsiaTheme="majorEastAsia"/>
          <w:color w:val="auto"/>
          <w:sz w:val="28"/>
          <w:szCs w:val="28"/>
          <w:highlight w:val="none"/>
        </w:rPr>
        <w:t xml:space="preserve">3.1 </w:t>
      </w:r>
      <w:r>
        <w:rPr>
          <w:rFonts w:hint="eastAsia" w:asciiTheme="majorEastAsia" w:hAnsiTheme="majorEastAsia" w:eastAsiaTheme="majorEastAsia"/>
          <w:color w:val="auto"/>
          <w:sz w:val="28"/>
          <w:szCs w:val="28"/>
          <w:highlight w:val="none"/>
          <w:lang w:val="en-US" w:eastAsia="zh-CN"/>
        </w:rPr>
        <w:t>参选</w:t>
      </w:r>
      <w:r>
        <w:rPr>
          <w:rFonts w:hint="eastAsia" w:asciiTheme="majorEastAsia" w:hAnsiTheme="majorEastAsia" w:eastAsiaTheme="majorEastAsia"/>
          <w:color w:val="auto"/>
          <w:sz w:val="28"/>
          <w:szCs w:val="28"/>
          <w:highlight w:val="none"/>
        </w:rPr>
        <w:t>文件的组成</w:t>
      </w:r>
      <w:bookmarkEnd w:id="202"/>
      <w:bookmarkEnd w:id="203"/>
      <w:bookmarkEnd w:id="204"/>
      <w:bookmarkEnd w:id="205"/>
      <w:bookmarkEnd w:id="206"/>
      <w:bookmarkEnd w:id="207"/>
      <w:bookmarkEnd w:id="208"/>
      <w:bookmarkEnd w:id="209"/>
    </w:p>
    <w:p w14:paraId="3BB8661D">
      <w:pPr>
        <w:widowControl/>
        <w:shd w:val="clear" w:color="auto" w:fill="FFFFFF"/>
        <w:snapToGri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lang w:val="en-US" w:eastAsia="zh-CN"/>
        </w:rPr>
        <w:t>参选</w:t>
      </w:r>
      <w:r>
        <w:rPr>
          <w:rFonts w:hint="eastAsia" w:ascii="宋体" w:hAnsi="宋体" w:cs="宋体"/>
          <w:color w:val="auto"/>
          <w:highlight w:val="none"/>
        </w:rPr>
        <w:t>人应仔细阅读</w:t>
      </w:r>
      <w:r>
        <w:rPr>
          <w:rFonts w:hint="eastAsia" w:ascii="宋体" w:hAnsi="宋体" w:cs="宋体"/>
          <w:color w:val="auto"/>
          <w:highlight w:val="none"/>
          <w:lang w:eastAsia="zh-CN"/>
        </w:rPr>
        <w:t>招选</w:t>
      </w:r>
      <w:r>
        <w:rPr>
          <w:rFonts w:hint="eastAsia" w:ascii="宋体" w:hAnsi="宋体" w:cs="宋体"/>
          <w:color w:val="auto"/>
          <w:highlight w:val="none"/>
        </w:rPr>
        <w:t>文件的所有内容，按照招</w:t>
      </w:r>
      <w:r>
        <w:rPr>
          <w:rFonts w:hint="eastAsia" w:ascii="宋体" w:hAnsi="宋体" w:cs="宋体"/>
          <w:color w:val="auto"/>
          <w:highlight w:val="none"/>
          <w:lang w:val="en-US" w:eastAsia="zh-CN"/>
        </w:rPr>
        <w:t>选</w:t>
      </w:r>
      <w:r>
        <w:rPr>
          <w:rFonts w:hint="eastAsia" w:ascii="宋体" w:hAnsi="宋体" w:cs="宋体"/>
          <w:color w:val="auto"/>
          <w:highlight w:val="none"/>
        </w:rPr>
        <w:t>文件的要求提交</w:t>
      </w:r>
      <w:r>
        <w:rPr>
          <w:rFonts w:hint="eastAsia" w:ascii="宋体" w:hAnsi="宋体" w:cs="宋体"/>
          <w:color w:val="auto"/>
          <w:highlight w:val="none"/>
          <w:lang w:val="en-US" w:eastAsia="zh-CN"/>
        </w:rPr>
        <w:t>参选</w:t>
      </w:r>
      <w:r>
        <w:rPr>
          <w:rFonts w:hint="eastAsia" w:ascii="宋体" w:hAnsi="宋体" w:cs="宋体"/>
          <w:color w:val="auto"/>
          <w:highlight w:val="none"/>
        </w:rPr>
        <w:t>文件</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参选</w:t>
      </w:r>
      <w:r>
        <w:rPr>
          <w:rFonts w:hint="eastAsia" w:ascii="宋体" w:hAnsi="宋体" w:cs="宋体"/>
          <w:color w:val="auto"/>
          <w:highlight w:val="none"/>
        </w:rPr>
        <w:t>文件应对招</w:t>
      </w:r>
      <w:r>
        <w:rPr>
          <w:rFonts w:hint="eastAsia" w:ascii="宋体" w:hAnsi="宋体" w:cs="宋体"/>
          <w:color w:val="auto"/>
          <w:highlight w:val="none"/>
          <w:lang w:val="en-US" w:eastAsia="zh-CN"/>
        </w:rPr>
        <w:t>选</w:t>
      </w:r>
      <w:r>
        <w:rPr>
          <w:rFonts w:hint="eastAsia" w:ascii="宋体" w:hAnsi="宋体" w:cs="宋体"/>
          <w:color w:val="auto"/>
          <w:highlight w:val="none"/>
        </w:rPr>
        <w:t>文件的要求做出实质性响应，并保证所提供的全部资料的真实性，否则其</w:t>
      </w:r>
      <w:r>
        <w:rPr>
          <w:rFonts w:hint="eastAsia" w:ascii="宋体" w:hAnsi="宋体" w:cs="宋体"/>
          <w:color w:val="auto"/>
          <w:highlight w:val="none"/>
          <w:lang w:val="en-US" w:eastAsia="zh-CN"/>
        </w:rPr>
        <w:t>参选文件</w:t>
      </w:r>
      <w:r>
        <w:rPr>
          <w:rFonts w:hint="eastAsia" w:ascii="宋体" w:hAnsi="宋体" w:cs="宋体"/>
          <w:color w:val="auto"/>
          <w:highlight w:val="none"/>
        </w:rPr>
        <w:t>将被拒绝。</w:t>
      </w:r>
    </w:p>
    <w:p w14:paraId="45E8994D">
      <w:pPr>
        <w:spacing w:line="360" w:lineRule="auto"/>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color w:val="auto"/>
          <w:highlight w:val="none"/>
          <w:lang w:val="en-US" w:eastAsia="zh-CN"/>
        </w:rPr>
        <w:t>参选</w:t>
      </w:r>
      <w:r>
        <w:rPr>
          <w:rFonts w:hint="eastAsia" w:ascii="宋体" w:hAnsi="宋体" w:cs="宋体"/>
          <w:color w:val="auto"/>
          <w:highlight w:val="none"/>
        </w:rPr>
        <w:t>文件的组成</w:t>
      </w:r>
    </w:p>
    <w:p w14:paraId="0F2E117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参选</w:t>
      </w:r>
      <w:r>
        <w:rPr>
          <w:rFonts w:hint="eastAsia" w:ascii="宋体" w:hAnsi="宋体" w:cs="宋体"/>
          <w:color w:val="auto"/>
          <w:highlight w:val="none"/>
        </w:rPr>
        <w:t>函</w:t>
      </w:r>
    </w:p>
    <w:p w14:paraId="44AE748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（2）报价函</w:t>
      </w:r>
    </w:p>
    <w:p w14:paraId="59CCDA7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阀门</w:t>
      </w:r>
      <w:r>
        <w:rPr>
          <w:rFonts w:hint="eastAsia" w:ascii="宋体" w:hAnsi="宋体" w:cs="宋体"/>
          <w:color w:val="auto"/>
          <w:highlight w:val="none"/>
        </w:rPr>
        <w:t>采购报价表</w:t>
      </w:r>
    </w:p>
    <w:p w14:paraId="7A9CD7F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w:t>
      </w:r>
      <w:r>
        <w:rPr>
          <w:rFonts w:hint="eastAsia" w:ascii="宋体" w:hAnsi="宋体" w:cs="宋体"/>
          <w:color w:val="auto"/>
          <w:highlight w:val="none"/>
          <w:lang w:val="en-US" w:eastAsia="zh-CN"/>
        </w:rPr>
        <w:t>参选</w:t>
      </w:r>
      <w:r>
        <w:rPr>
          <w:rFonts w:hint="eastAsia" w:ascii="宋体" w:hAnsi="宋体" w:cs="宋体"/>
          <w:color w:val="auto"/>
          <w:highlight w:val="none"/>
        </w:rPr>
        <w:t>人的资格证明文件</w:t>
      </w:r>
    </w:p>
    <w:p w14:paraId="03ACAB6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w:t>
      </w:r>
      <w:r>
        <w:rPr>
          <w:rFonts w:hint="eastAsia" w:ascii="宋体" w:hAnsi="宋体" w:cs="宋体"/>
          <w:color w:val="auto"/>
          <w:highlight w:val="none"/>
          <w:lang w:val="en-US" w:eastAsia="zh-CN"/>
        </w:rPr>
        <w:t>参选</w:t>
      </w:r>
      <w:r>
        <w:rPr>
          <w:rFonts w:hint="eastAsia" w:ascii="宋体" w:hAnsi="宋体" w:cs="宋体"/>
          <w:color w:val="auto"/>
          <w:highlight w:val="none"/>
        </w:rPr>
        <w:t>承诺函</w:t>
      </w:r>
    </w:p>
    <w:p w14:paraId="2D754EA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w:t>
      </w:r>
      <w:r>
        <w:rPr>
          <w:rFonts w:hint="eastAsia" w:ascii="宋体" w:hAnsi="宋体" w:cs="宋体"/>
          <w:color w:val="auto"/>
          <w:highlight w:val="none"/>
          <w:lang w:val="en-US" w:eastAsia="zh-CN"/>
        </w:rPr>
        <w:t>参选</w:t>
      </w:r>
      <w:r>
        <w:rPr>
          <w:rFonts w:hint="eastAsia" w:ascii="宋体" w:hAnsi="宋体" w:cs="宋体"/>
          <w:color w:val="auto"/>
          <w:highlight w:val="none"/>
        </w:rPr>
        <w:t>人提交的</w:t>
      </w:r>
      <w:r>
        <w:rPr>
          <w:rFonts w:hint="eastAsia" w:ascii="宋体" w:hAnsi="宋体" w:cs="宋体"/>
          <w:color w:val="auto"/>
          <w:highlight w:val="none"/>
          <w:lang w:eastAsia="zh-CN"/>
        </w:rPr>
        <w:t>其他</w:t>
      </w:r>
      <w:r>
        <w:rPr>
          <w:rFonts w:hint="eastAsia" w:ascii="宋体" w:hAnsi="宋体" w:cs="宋体"/>
          <w:color w:val="auto"/>
          <w:highlight w:val="none"/>
        </w:rPr>
        <w:t>资料</w:t>
      </w:r>
    </w:p>
    <w:p w14:paraId="133400A4">
      <w:pPr>
        <w:spacing w:line="360" w:lineRule="auto"/>
        <w:rPr>
          <w:rFonts w:ascii="宋体" w:hAnsi="宋体"/>
          <w:color w:val="auto"/>
          <w:highlight w:val="none"/>
        </w:rPr>
      </w:pPr>
      <w:r>
        <w:rPr>
          <w:rFonts w:hint="eastAsia" w:ascii="宋体" w:hAnsi="宋体"/>
          <w:color w:val="auto"/>
          <w:highlight w:val="none"/>
        </w:rPr>
        <w:t xml:space="preserve">    </w:t>
      </w:r>
      <w:r>
        <w:rPr>
          <w:rFonts w:hint="eastAsia" w:ascii="宋体" w:hAnsi="宋体" w:cs="宋体"/>
          <w:color w:val="auto"/>
          <w:highlight w:val="none"/>
          <w:lang w:val="en-US" w:eastAsia="zh-CN"/>
        </w:rPr>
        <w:t>参选</w:t>
      </w:r>
      <w:r>
        <w:rPr>
          <w:rFonts w:hint="eastAsia" w:ascii="宋体" w:hAnsi="宋体"/>
          <w:color w:val="auto"/>
          <w:highlight w:val="none"/>
        </w:rPr>
        <w:t>有效期：</w:t>
      </w:r>
      <w:r>
        <w:rPr>
          <w:rFonts w:hint="eastAsia" w:ascii="宋体" w:hAnsi="宋体" w:cs="宋体"/>
          <w:color w:val="auto"/>
          <w:highlight w:val="none"/>
          <w:lang w:val="en-US" w:eastAsia="zh-CN"/>
        </w:rPr>
        <w:t>参选</w:t>
      </w:r>
      <w:r>
        <w:rPr>
          <w:rFonts w:hint="eastAsia" w:ascii="宋体" w:hAnsi="宋体"/>
          <w:color w:val="auto"/>
          <w:highlight w:val="none"/>
        </w:rPr>
        <w:t>截止期结束后</w:t>
      </w:r>
      <w:r>
        <w:rPr>
          <w:rFonts w:hint="eastAsia" w:ascii="宋体" w:hAnsi="宋体"/>
          <w:color w:val="auto"/>
          <w:highlight w:val="none"/>
          <w:u w:val="single"/>
        </w:rPr>
        <w:t>90</w:t>
      </w:r>
      <w:r>
        <w:rPr>
          <w:rFonts w:hint="eastAsia" w:ascii="宋体" w:hAnsi="宋体"/>
          <w:color w:val="auto"/>
          <w:highlight w:val="none"/>
        </w:rPr>
        <w:t>个日历天。有效期不足将导致其</w:t>
      </w:r>
      <w:r>
        <w:rPr>
          <w:rFonts w:hint="eastAsia" w:ascii="宋体" w:hAnsi="宋体" w:cs="宋体"/>
          <w:color w:val="auto"/>
          <w:highlight w:val="none"/>
          <w:lang w:val="en-US" w:eastAsia="zh-CN"/>
        </w:rPr>
        <w:t>参选</w:t>
      </w:r>
      <w:r>
        <w:rPr>
          <w:rFonts w:hint="eastAsia" w:ascii="宋体" w:hAnsi="宋体"/>
          <w:color w:val="auto"/>
          <w:highlight w:val="none"/>
        </w:rPr>
        <w:t>响应文件被拒绝。</w:t>
      </w:r>
    </w:p>
    <w:p w14:paraId="72EEA6AF">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人在评</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过程中作出的符合法律法规和招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文件规定的澄清确认，构成</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文件的组成部分。</w:t>
      </w:r>
    </w:p>
    <w:p w14:paraId="44FC48F1">
      <w:pPr>
        <w:pStyle w:val="6"/>
        <w:snapToGrid w:val="0"/>
        <w:spacing w:before="0" w:after="0" w:line="360" w:lineRule="auto"/>
        <w:rPr>
          <w:rFonts w:asciiTheme="majorEastAsia" w:hAnsiTheme="majorEastAsia" w:eastAsiaTheme="majorEastAsia"/>
          <w:color w:val="auto"/>
          <w:sz w:val="28"/>
          <w:szCs w:val="28"/>
          <w:highlight w:val="none"/>
        </w:rPr>
      </w:pPr>
      <w:bookmarkStart w:id="210" w:name="_Toc511644472"/>
      <w:bookmarkStart w:id="211" w:name="_Toc120110801"/>
      <w:bookmarkStart w:id="212" w:name="_Toc51340233"/>
      <w:bookmarkStart w:id="213" w:name="_Toc511645086"/>
      <w:bookmarkStart w:id="214" w:name="_Toc7186391"/>
      <w:bookmarkStart w:id="215" w:name="_Toc515441288"/>
      <w:bookmarkStart w:id="216" w:name="_Toc50734466"/>
      <w:bookmarkStart w:id="217" w:name="_Toc46475136"/>
      <w:r>
        <w:rPr>
          <w:rFonts w:hint="eastAsia" w:asciiTheme="majorEastAsia" w:hAnsiTheme="majorEastAsia" w:eastAsiaTheme="majorEastAsia"/>
          <w:color w:val="auto"/>
          <w:sz w:val="28"/>
          <w:szCs w:val="28"/>
          <w:highlight w:val="none"/>
        </w:rPr>
        <w:t xml:space="preserve">3.2 </w:t>
      </w:r>
      <w:r>
        <w:rPr>
          <w:rFonts w:hint="eastAsia" w:ascii="宋体" w:hAnsi="宋体" w:cs="宋体"/>
          <w:color w:val="auto"/>
          <w:highlight w:val="none"/>
          <w:lang w:val="en-US" w:eastAsia="zh-CN"/>
        </w:rPr>
        <w:t>参选</w:t>
      </w:r>
      <w:r>
        <w:rPr>
          <w:rFonts w:hint="eastAsia" w:asciiTheme="majorEastAsia" w:hAnsiTheme="majorEastAsia" w:eastAsiaTheme="majorEastAsia"/>
          <w:color w:val="auto"/>
          <w:sz w:val="28"/>
          <w:szCs w:val="28"/>
          <w:highlight w:val="none"/>
        </w:rPr>
        <w:t>报价</w:t>
      </w:r>
      <w:bookmarkEnd w:id="210"/>
      <w:bookmarkEnd w:id="211"/>
      <w:bookmarkEnd w:id="212"/>
      <w:bookmarkEnd w:id="213"/>
      <w:bookmarkEnd w:id="214"/>
      <w:bookmarkEnd w:id="215"/>
      <w:bookmarkEnd w:id="216"/>
      <w:bookmarkEnd w:id="217"/>
    </w:p>
    <w:p w14:paraId="1CFD01F4">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 xml:space="preserve">3.2.1 </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报价应包括国家规定的增值税税金，除</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人须知前附表另有规定外，增值税税金按一般计税方法计算。</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人应按第</w:t>
      </w:r>
      <w:r>
        <w:rPr>
          <w:rFonts w:hint="eastAsia" w:asciiTheme="minorEastAsia" w:hAnsiTheme="minorEastAsia"/>
          <w:color w:val="auto"/>
          <w:szCs w:val="21"/>
          <w:highlight w:val="none"/>
          <w:lang w:eastAsia="zh-CN"/>
        </w:rPr>
        <w:t>六</w:t>
      </w:r>
      <w:r>
        <w:rPr>
          <w:rFonts w:hint="eastAsia" w:asciiTheme="minorEastAsia" w:hAnsiTheme="minorEastAsia"/>
          <w:color w:val="auto"/>
          <w:szCs w:val="21"/>
          <w:highlight w:val="none"/>
        </w:rPr>
        <w:t>章“</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文件格式”的要求在</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函中进行报价。</w:t>
      </w:r>
    </w:p>
    <w:p w14:paraId="5D161D0A">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 xml:space="preserve">3.2.2 </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人应充分了解该项目的总体情况以及影响</w:t>
      </w:r>
      <w:r>
        <w:rPr>
          <w:rFonts w:hint="eastAsia" w:asciiTheme="minorEastAsia" w:hAnsiTheme="minorEastAsia"/>
          <w:color w:val="auto"/>
          <w:szCs w:val="21"/>
          <w:highlight w:val="none"/>
          <w:lang w:eastAsia="zh-CN"/>
        </w:rPr>
        <w:t>参选</w:t>
      </w:r>
      <w:r>
        <w:rPr>
          <w:rFonts w:hint="eastAsia" w:asciiTheme="minorEastAsia" w:hAnsiTheme="minorEastAsia"/>
          <w:color w:val="auto"/>
          <w:szCs w:val="21"/>
          <w:highlight w:val="none"/>
        </w:rPr>
        <w:t>报价的其他要素。</w:t>
      </w:r>
    </w:p>
    <w:p w14:paraId="2DE71613">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 xml:space="preserve">3.2.3 </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报价为各分项报价金额之和，</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人在</w:t>
      </w:r>
      <w:r>
        <w:rPr>
          <w:rFonts w:hint="eastAsia" w:asciiTheme="minorEastAsia" w:hAnsiTheme="minorEastAsia"/>
          <w:color w:val="auto"/>
          <w:szCs w:val="21"/>
          <w:highlight w:val="none"/>
          <w:lang w:eastAsia="zh-CN"/>
        </w:rPr>
        <w:t>参选</w:t>
      </w:r>
      <w:r>
        <w:rPr>
          <w:rFonts w:hint="eastAsia" w:asciiTheme="minorEastAsia" w:hAnsiTheme="minorEastAsia"/>
          <w:color w:val="auto"/>
          <w:szCs w:val="21"/>
          <w:highlight w:val="none"/>
        </w:rPr>
        <w:t>截止时间前修改</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函中的</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报价总额。此修改须符合本章第4.3款的有关要求。</w:t>
      </w:r>
    </w:p>
    <w:p w14:paraId="37E12889">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 xml:space="preserve">3.2.4 </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人的</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报价不得超过最高限价，最高限价在</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人须知前附表中载明。</w:t>
      </w:r>
    </w:p>
    <w:p w14:paraId="03F05E8A">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 xml:space="preserve">3.2.5 </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报价的其他要求见</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人须知前附表。</w:t>
      </w:r>
    </w:p>
    <w:p w14:paraId="6CAD94E0">
      <w:pPr>
        <w:pStyle w:val="6"/>
        <w:snapToGrid w:val="0"/>
        <w:spacing w:before="0" w:after="0" w:line="360" w:lineRule="auto"/>
        <w:rPr>
          <w:rFonts w:asciiTheme="majorEastAsia" w:hAnsiTheme="majorEastAsia" w:eastAsiaTheme="majorEastAsia"/>
          <w:color w:val="auto"/>
          <w:sz w:val="28"/>
          <w:szCs w:val="28"/>
          <w:highlight w:val="none"/>
        </w:rPr>
      </w:pPr>
      <w:bookmarkStart w:id="218" w:name="_Toc7186392"/>
      <w:bookmarkStart w:id="219" w:name="_Toc51340234"/>
      <w:bookmarkStart w:id="220" w:name="_Toc515441289"/>
      <w:bookmarkStart w:id="221" w:name="_Toc50734467"/>
      <w:bookmarkStart w:id="222" w:name="_Toc511644473"/>
      <w:bookmarkStart w:id="223" w:name="_Toc120110802"/>
      <w:bookmarkStart w:id="224" w:name="_Toc46475137"/>
      <w:bookmarkStart w:id="225" w:name="_Toc511645087"/>
      <w:r>
        <w:rPr>
          <w:rFonts w:hint="eastAsia" w:asciiTheme="majorEastAsia" w:hAnsiTheme="majorEastAsia" w:eastAsiaTheme="majorEastAsia"/>
          <w:color w:val="auto"/>
          <w:sz w:val="28"/>
          <w:szCs w:val="28"/>
          <w:highlight w:val="none"/>
        </w:rPr>
        <w:t xml:space="preserve">3.3 </w:t>
      </w:r>
      <w:r>
        <w:rPr>
          <w:rFonts w:hint="eastAsia" w:asciiTheme="majorEastAsia" w:hAnsiTheme="majorEastAsia" w:eastAsiaTheme="majorEastAsia"/>
          <w:color w:val="auto"/>
          <w:sz w:val="28"/>
          <w:szCs w:val="28"/>
          <w:highlight w:val="none"/>
          <w:lang w:val="en-US" w:eastAsia="zh-CN"/>
        </w:rPr>
        <w:t>参选</w:t>
      </w:r>
      <w:r>
        <w:rPr>
          <w:rFonts w:hint="eastAsia" w:asciiTheme="majorEastAsia" w:hAnsiTheme="majorEastAsia" w:eastAsiaTheme="majorEastAsia"/>
          <w:color w:val="auto"/>
          <w:sz w:val="28"/>
          <w:szCs w:val="28"/>
          <w:highlight w:val="none"/>
        </w:rPr>
        <w:t>有效期</w:t>
      </w:r>
      <w:bookmarkEnd w:id="218"/>
      <w:bookmarkEnd w:id="219"/>
      <w:bookmarkEnd w:id="220"/>
      <w:bookmarkEnd w:id="221"/>
      <w:bookmarkEnd w:id="222"/>
      <w:bookmarkEnd w:id="223"/>
      <w:bookmarkEnd w:id="224"/>
      <w:bookmarkEnd w:id="225"/>
    </w:p>
    <w:p w14:paraId="0AEE3485">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3.3.1 除</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人须知前附表另有规定外，</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有效期为</w:t>
      </w:r>
      <w:r>
        <w:rPr>
          <w:rFonts w:hint="eastAsia" w:asciiTheme="minorEastAsia" w:hAnsiTheme="minorEastAsia"/>
          <w:color w:val="auto"/>
          <w:szCs w:val="21"/>
          <w:highlight w:val="none"/>
          <w:lang w:val="en-US" w:eastAsia="zh-CN"/>
        </w:rPr>
        <w:t>90</w:t>
      </w:r>
      <w:r>
        <w:rPr>
          <w:rFonts w:hint="eastAsia" w:asciiTheme="minorEastAsia" w:hAnsiTheme="minorEastAsia"/>
          <w:color w:val="auto"/>
          <w:szCs w:val="21"/>
          <w:highlight w:val="none"/>
        </w:rPr>
        <w:t>天。</w:t>
      </w:r>
    </w:p>
    <w:p w14:paraId="5F1F3DA7">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3.3.2 在</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有效期内，</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人撤销</w:t>
      </w:r>
      <w:r>
        <w:rPr>
          <w:rFonts w:hint="eastAsia" w:asciiTheme="minorEastAsia" w:hAnsiTheme="minorEastAsia"/>
          <w:color w:val="auto"/>
          <w:szCs w:val="21"/>
          <w:highlight w:val="none"/>
          <w:lang w:eastAsia="zh-CN"/>
        </w:rPr>
        <w:t>参选</w:t>
      </w:r>
      <w:r>
        <w:rPr>
          <w:rFonts w:hint="eastAsia" w:asciiTheme="minorEastAsia" w:hAnsiTheme="minorEastAsia"/>
          <w:color w:val="auto"/>
          <w:szCs w:val="21"/>
          <w:highlight w:val="none"/>
        </w:rPr>
        <w:t>文件的，应承担招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文件和法律规定的责任。</w:t>
      </w:r>
    </w:p>
    <w:p w14:paraId="4E23F136">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3.3.3 出现特殊情况需要延长</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有效期的，招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人以书面形式通知所有</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人延长</w:t>
      </w:r>
      <w:r>
        <w:rPr>
          <w:rFonts w:hint="eastAsia" w:asciiTheme="minorEastAsia" w:hAnsiTheme="minorEastAsia"/>
          <w:color w:val="auto"/>
          <w:szCs w:val="21"/>
          <w:highlight w:val="none"/>
          <w:lang w:eastAsia="zh-CN"/>
        </w:rPr>
        <w:t>参选</w:t>
      </w:r>
      <w:r>
        <w:rPr>
          <w:rFonts w:hint="eastAsia" w:asciiTheme="minorEastAsia" w:hAnsiTheme="minorEastAsia"/>
          <w:color w:val="auto"/>
          <w:szCs w:val="21"/>
          <w:highlight w:val="none"/>
        </w:rPr>
        <w:t>有效期。</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人应予以书面答复，同意延长的，应相应延长其</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保证金的有效期，但不得要求或被允许修改其</w:t>
      </w:r>
      <w:r>
        <w:rPr>
          <w:rFonts w:hint="eastAsia" w:asciiTheme="minorEastAsia" w:hAnsiTheme="minorEastAsia"/>
          <w:color w:val="auto"/>
          <w:szCs w:val="21"/>
          <w:highlight w:val="none"/>
          <w:lang w:eastAsia="zh-CN"/>
        </w:rPr>
        <w:t>参选</w:t>
      </w:r>
      <w:r>
        <w:rPr>
          <w:rFonts w:hint="eastAsia" w:asciiTheme="minorEastAsia" w:hAnsiTheme="minorEastAsia"/>
          <w:color w:val="auto"/>
          <w:szCs w:val="21"/>
          <w:highlight w:val="none"/>
        </w:rPr>
        <w:t>文件；</w:t>
      </w:r>
      <w:r>
        <w:rPr>
          <w:rFonts w:hint="eastAsia" w:asciiTheme="minorEastAsia" w:hAnsiTheme="minorEastAsia"/>
          <w:color w:val="auto"/>
          <w:szCs w:val="21"/>
          <w:highlight w:val="none"/>
          <w:lang w:eastAsia="zh-CN"/>
        </w:rPr>
        <w:t>参选</w:t>
      </w:r>
      <w:r>
        <w:rPr>
          <w:rFonts w:hint="eastAsia" w:asciiTheme="minorEastAsia" w:hAnsiTheme="minorEastAsia"/>
          <w:color w:val="auto"/>
          <w:szCs w:val="21"/>
          <w:highlight w:val="none"/>
        </w:rPr>
        <w:t>人拒绝延长的，其</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失效，但</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人有权收回其</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保证金及以现金或者支票形式递交的</w:t>
      </w:r>
      <w:r>
        <w:rPr>
          <w:rFonts w:hint="eastAsia" w:asciiTheme="minorEastAsia" w:hAnsiTheme="minorEastAsia"/>
          <w:color w:val="auto"/>
          <w:szCs w:val="21"/>
          <w:highlight w:val="none"/>
          <w:lang w:eastAsia="zh-CN"/>
        </w:rPr>
        <w:t>参选</w:t>
      </w:r>
      <w:r>
        <w:rPr>
          <w:rFonts w:hint="eastAsia" w:asciiTheme="minorEastAsia" w:hAnsiTheme="minorEastAsia"/>
          <w:color w:val="auto"/>
          <w:szCs w:val="21"/>
          <w:highlight w:val="none"/>
        </w:rPr>
        <w:t>保证金的银行同期存款利息。</w:t>
      </w:r>
    </w:p>
    <w:p w14:paraId="24175CAE">
      <w:pPr>
        <w:pStyle w:val="6"/>
        <w:snapToGrid w:val="0"/>
        <w:spacing w:before="0" w:after="0" w:line="360" w:lineRule="auto"/>
        <w:rPr>
          <w:rFonts w:asciiTheme="majorEastAsia" w:hAnsiTheme="majorEastAsia" w:eastAsiaTheme="majorEastAsia"/>
          <w:color w:val="auto"/>
          <w:sz w:val="28"/>
          <w:szCs w:val="28"/>
          <w:highlight w:val="none"/>
        </w:rPr>
      </w:pPr>
      <w:bookmarkStart w:id="226" w:name="_Toc46475138"/>
      <w:bookmarkStart w:id="227" w:name="_Toc515441290"/>
      <w:bookmarkStart w:id="228" w:name="_Toc511645088"/>
      <w:bookmarkStart w:id="229" w:name="_Toc511644474"/>
      <w:bookmarkStart w:id="230" w:name="_Toc120110803"/>
      <w:bookmarkStart w:id="231" w:name="_Toc51340235"/>
      <w:bookmarkStart w:id="232" w:name="_Toc50734468"/>
      <w:bookmarkStart w:id="233" w:name="_Toc7186393"/>
      <w:r>
        <w:rPr>
          <w:rFonts w:hint="eastAsia" w:asciiTheme="majorEastAsia" w:hAnsiTheme="majorEastAsia" w:eastAsiaTheme="majorEastAsia"/>
          <w:color w:val="auto"/>
          <w:sz w:val="28"/>
          <w:szCs w:val="28"/>
          <w:highlight w:val="none"/>
        </w:rPr>
        <w:t xml:space="preserve">3.4 </w:t>
      </w:r>
      <w:r>
        <w:rPr>
          <w:rFonts w:hint="eastAsia" w:ascii="宋体" w:hAnsi="宋体" w:cs="宋体"/>
          <w:color w:val="auto"/>
          <w:highlight w:val="none"/>
          <w:lang w:val="en-US" w:eastAsia="zh-CN"/>
        </w:rPr>
        <w:t>参选</w:t>
      </w:r>
      <w:r>
        <w:rPr>
          <w:rFonts w:hint="eastAsia" w:asciiTheme="majorEastAsia" w:hAnsiTheme="majorEastAsia" w:eastAsiaTheme="majorEastAsia"/>
          <w:color w:val="auto"/>
          <w:sz w:val="28"/>
          <w:szCs w:val="28"/>
          <w:highlight w:val="none"/>
        </w:rPr>
        <w:t>保证金</w:t>
      </w:r>
      <w:bookmarkEnd w:id="226"/>
      <w:bookmarkEnd w:id="227"/>
      <w:bookmarkEnd w:id="228"/>
      <w:bookmarkEnd w:id="229"/>
      <w:bookmarkEnd w:id="230"/>
      <w:bookmarkEnd w:id="231"/>
      <w:bookmarkEnd w:id="232"/>
      <w:bookmarkEnd w:id="233"/>
    </w:p>
    <w:p w14:paraId="3D2DB073">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 xml:space="preserve">3.4.1 </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人在递交</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文件的同时，应按</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人须知前附表规定的金额、形式和第</w:t>
      </w:r>
      <w:r>
        <w:rPr>
          <w:rFonts w:hint="eastAsia" w:asciiTheme="minorEastAsia" w:hAnsiTheme="minorEastAsia"/>
          <w:color w:val="auto"/>
          <w:szCs w:val="21"/>
          <w:highlight w:val="none"/>
          <w:lang w:eastAsia="zh-CN"/>
        </w:rPr>
        <w:t>六</w:t>
      </w:r>
      <w:r>
        <w:rPr>
          <w:rFonts w:hint="eastAsia" w:asciiTheme="minorEastAsia" w:hAnsiTheme="minorEastAsia"/>
          <w:color w:val="auto"/>
          <w:szCs w:val="21"/>
          <w:highlight w:val="none"/>
        </w:rPr>
        <w:t>章“</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文件格式”规定的</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保证金格式递交</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保证金，并作为其</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文件的组成部分。境内</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人以现金或者支票形式提交的</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保证金，应当从其基本账户转出并在</w:t>
      </w:r>
      <w:r>
        <w:rPr>
          <w:rFonts w:hint="eastAsia" w:asciiTheme="minorEastAsia" w:hAnsiTheme="minorEastAsia"/>
          <w:color w:val="auto"/>
          <w:szCs w:val="21"/>
          <w:highlight w:val="none"/>
          <w:lang w:eastAsia="zh-CN"/>
        </w:rPr>
        <w:t>参选</w:t>
      </w:r>
      <w:r>
        <w:rPr>
          <w:rFonts w:hint="eastAsia" w:asciiTheme="minorEastAsia" w:hAnsiTheme="minorEastAsia"/>
          <w:color w:val="auto"/>
          <w:szCs w:val="21"/>
          <w:highlight w:val="none"/>
        </w:rPr>
        <w:t>文件中附上基本账户开户证明。</w:t>
      </w:r>
    </w:p>
    <w:p w14:paraId="12C5AF77">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 xml:space="preserve">3.4.2 </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人不按本章第3.4.1项要求提交</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保证金的，评审小组将否决其</w:t>
      </w:r>
      <w:r>
        <w:rPr>
          <w:rFonts w:hint="eastAsia" w:asciiTheme="minorEastAsia" w:hAnsiTheme="minorEastAsia"/>
          <w:color w:val="auto"/>
          <w:szCs w:val="21"/>
          <w:highlight w:val="none"/>
          <w:lang w:eastAsia="zh-CN"/>
        </w:rPr>
        <w:t>参选</w:t>
      </w:r>
      <w:r>
        <w:rPr>
          <w:rFonts w:hint="eastAsia" w:asciiTheme="minorEastAsia" w:hAnsiTheme="minorEastAsia"/>
          <w:color w:val="auto"/>
          <w:szCs w:val="21"/>
          <w:highlight w:val="none"/>
        </w:rPr>
        <w:t>。</w:t>
      </w:r>
    </w:p>
    <w:p w14:paraId="1621898C">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3.4.3 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人最迟将在与中</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人签订合同后5日内，向未中</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的</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人和中</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人退还</w:t>
      </w:r>
      <w:r>
        <w:rPr>
          <w:rFonts w:hint="eastAsia" w:asciiTheme="minorEastAsia" w:hAnsiTheme="minorEastAsia"/>
          <w:color w:val="auto"/>
          <w:szCs w:val="21"/>
          <w:highlight w:val="none"/>
          <w:lang w:eastAsia="zh-CN"/>
        </w:rPr>
        <w:t>参选</w:t>
      </w:r>
      <w:r>
        <w:rPr>
          <w:rFonts w:hint="eastAsia" w:asciiTheme="minorEastAsia" w:hAnsiTheme="minorEastAsia"/>
          <w:color w:val="auto"/>
          <w:szCs w:val="21"/>
          <w:highlight w:val="none"/>
        </w:rPr>
        <w:t>保证金。</w:t>
      </w:r>
    </w:p>
    <w:p w14:paraId="01074ACA">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3.4.4 有下列情形之一的，</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保证金将不予退还：</w:t>
      </w:r>
    </w:p>
    <w:p w14:paraId="4C7BC76E">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（1）</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人在</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有效期内撤销</w:t>
      </w:r>
      <w:r>
        <w:rPr>
          <w:rFonts w:hint="eastAsia" w:ascii="宋体" w:hAnsi="宋体" w:cs="宋体"/>
          <w:color w:val="auto"/>
          <w:highlight w:val="none"/>
          <w:lang w:val="en-US" w:eastAsia="zh-CN"/>
        </w:rPr>
        <w:t>参选</w:t>
      </w:r>
      <w:r>
        <w:rPr>
          <w:rFonts w:hint="eastAsia" w:asciiTheme="minorEastAsia" w:hAnsiTheme="minorEastAsia"/>
          <w:color w:val="auto"/>
          <w:szCs w:val="21"/>
          <w:highlight w:val="none"/>
        </w:rPr>
        <w:t>文件；</w:t>
      </w:r>
    </w:p>
    <w:p w14:paraId="2109C588">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（2）中</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人在收到中标通知书后，无正当理由不与招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人订立合同，在签订合同时向招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人提出附加条件，或者不按照招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文件要求提交履约保证金；</w:t>
      </w:r>
    </w:p>
    <w:p w14:paraId="3C317496">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（3）发生</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人须知前附表规定的其他可以不予退还</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保证金的情形。</w:t>
      </w:r>
    </w:p>
    <w:p w14:paraId="2E0BC3D8">
      <w:pPr>
        <w:pStyle w:val="6"/>
        <w:snapToGrid w:val="0"/>
        <w:spacing w:before="0" w:after="0" w:line="360" w:lineRule="auto"/>
        <w:rPr>
          <w:rFonts w:asciiTheme="majorEastAsia" w:hAnsiTheme="majorEastAsia" w:eastAsiaTheme="majorEastAsia"/>
          <w:color w:val="auto"/>
          <w:sz w:val="28"/>
          <w:szCs w:val="28"/>
          <w:highlight w:val="none"/>
        </w:rPr>
      </w:pPr>
      <w:bookmarkStart w:id="234" w:name="_Toc46475139"/>
      <w:bookmarkStart w:id="235" w:name="_Toc120110804"/>
      <w:bookmarkStart w:id="236" w:name="_Toc515441292"/>
      <w:bookmarkStart w:id="237" w:name="_Toc51340236"/>
      <w:bookmarkStart w:id="238" w:name="_Toc511645090"/>
      <w:bookmarkStart w:id="239" w:name="_Toc7186394"/>
      <w:bookmarkStart w:id="240" w:name="_Toc50734469"/>
      <w:bookmarkStart w:id="241" w:name="_Toc511644476"/>
      <w:r>
        <w:rPr>
          <w:rFonts w:hint="eastAsia" w:asciiTheme="majorEastAsia" w:hAnsiTheme="majorEastAsia" w:eastAsiaTheme="majorEastAsia"/>
          <w:color w:val="auto"/>
          <w:sz w:val="28"/>
          <w:szCs w:val="28"/>
          <w:highlight w:val="none"/>
        </w:rPr>
        <w:t>3.5 资格审查资料</w:t>
      </w:r>
      <w:bookmarkEnd w:id="234"/>
      <w:bookmarkEnd w:id="235"/>
      <w:bookmarkEnd w:id="236"/>
      <w:bookmarkEnd w:id="237"/>
      <w:bookmarkEnd w:id="238"/>
      <w:bookmarkEnd w:id="239"/>
      <w:bookmarkEnd w:id="240"/>
      <w:bookmarkEnd w:id="241"/>
    </w:p>
    <w:p w14:paraId="6A5D3736">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除</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人须知前附表另有规定外，</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人应按</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须知规定提供资格审查资料，以证明其满足资质、财务、业绩、信誉等要求。</w:t>
      </w:r>
    </w:p>
    <w:p w14:paraId="01EB5E0C">
      <w:pPr>
        <w:spacing w:line="360" w:lineRule="auto"/>
        <w:ind w:firstLine="420" w:firstLineChars="200"/>
        <w:rPr>
          <w:rFonts w:ascii="宋体" w:hAnsi="宋体"/>
          <w:color w:val="auto"/>
          <w:highlight w:val="none"/>
        </w:rPr>
      </w:pPr>
      <w:r>
        <w:rPr>
          <w:rFonts w:hint="eastAsia" w:ascii="宋体" w:hAnsi="宋体"/>
          <w:color w:val="auto"/>
          <w:highlight w:val="none"/>
        </w:rPr>
        <w:t>（1）资格性检查。评审小组首先对</w:t>
      </w:r>
      <w:r>
        <w:rPr>
          <w:rFonts w:hint="eastAsia" w:ascii="宋体" w:hAnsi="宋体"/>
          <w:color w:val="auto"/>
          <w:highlight w:val="none"/>
          <w:lang w:val="en-US" w:eastAsia="zh-CN"/>
        </w:rPr>
        <w:t>参选</w:t>
      </w:r>
      <w:r>
        <w:rPr>
          <w:rFonts w:hint="eastAsia" w:ascii="宋体" w:hAnsi="宋体"/>
          <w:color w:val="auto"/>
          <w:highlight w:val="none"/>
        </w:rPr>
        <w:t>人提交的</w:t>
      </w:r>
      <w:r>
        <w:rPr>
          <w:rFonts w:hint="eastAsia" w:ascii="宋体" w:hAnsi="宋体"/>
          <w:color w:val="auto"/>
          <w:highlight w:val="none"/>
          <w:lang w:val="en-US" w:eastAsia="zh-CN"/>
        </w:rPr>
        <w:t>参选</w:t>
      </w:r>
      <w:r>
        <w:rPr>
          <w:rFonts w:hint="eastAsia" w:ascii="宋体" w:hAnsi="宋体"/>
          <w:color w:val="auto"/>
          <w:highlight w:val="none"/>
        </w:rPr>
        <w:t>文件进行资格审查</w:t>
      </w:r>
      <w:r>
        <w:rPr>
          <w:rFonts w:hint="eastAsia" w:ascii="宋体" w:hAnsi="宋体"/>
          <w:color w:val="auto"/>
          <w:highlight w:val="none"/>
          <w:lang w:eastAsia="zh-CN"/>
        </w:rPr>
        <w:t>，</w:t>
      </w:r>
      <w:r>
        <w:rPr>
          <w:rFonts w:hint="eastAsia" w:ascii="宋体" w:hAnsi="宋体"/>
          <w:color w:val="auto"/>
          <w:highlight w:val="none"/>
        </w:rPr>
        <w:t xml:space="preserve"> 以确定其是否符合招</w:t>
      </w:r>
      <w:r>
        <w:rPr>
          <w:rFonts w:hint="eastAsia" w:ascii="宋体" w:hAnsi="宋体"/>
          <w:color w:val="auto"/>
          <w:highlight w:val="none"/>
          <w:lang w:val="en-US" w:eastAsia="zh-CN"/>
        </w:rPr>
        <w:t>选</w:t>
      </w:r>
      <w:r>
        <w:rPr>
          <w:rFonts w:hint="eastAsia" w:ascii="宋体" w:hAnsi="宋体"/>
          <w:color w:val="auto"/>
          <w:highlight w:val="none"/>
        </w:rPr>
        <w:t>文件的要求。如果</w:t>
      </w:r>
      <w:r>
        <w:rPr>
          <w:rFonts w:hint="eastAsia" w:ascii="宋体" w:hAnsi="宋体"/>
          <w:color w:val="auto"/>
          <w:highlight w:val="none"/>
          <w:lang w:val="en-US" w:eastAsia="zh-CN"/>
        </w:rPr>
        <w:t>参选</w:t>
      </w:r>
      <w:r>
        <w:rPr>
          <w:rFonts w:hint="eastAsia" w:ascii="宋体" w:hAnsi="宋体"/>
          <w:color w:val="auto"/>
          <w:highlight w:val="none"/>
        </w:rPr>
        <w:t>人不满足招</w:t>
      </w:r>
      <w:r>
        <w:rPr>
          <w:rFonts w:hint="eastAsia" w:ascii="宋体" w:hAnsi="宋体"/>
          <w:color w:val="auto"/>
          <w:highlight w:val="none"/>
          <w:lang w:val="en-US" w:eastAsia="zh-CN"/>
        </w:rPr>
        <w:t>选</w:t>
      </w:r>
      <w:r>
        <w:rPr>
          <w:rFonts w:hint="eastAsia" w:ascii="宋体" w:hAnsi="宋体"/>
          <w:color w:val="auto"/>
          <w:highlight w:val="none"/>
        </w:rPr>
        <w:t>文件所规定的资格标准或提供资格证明文件不全的</w:t>
      </w:r>
      <w:r>
        <w:rPr>
          <w:rFonts w:hint="eastAsia" w:ascii="宋体" w:hAnsi="宋体"/>
          <w:color w:val="auto"/>
          <w:highlight w:val="none"/>
          <w:lang w:eastAsia="zh-CN"/>
        </w:rPr>
        <w:t>，</w:t>
      </w:r>
      <w:r>
        <w:rPr>
          <w:rFonts w:hint="eastAsia" w:ascii="宋体" w:hAnsi="宋体"/>
          <w:color w:val="auto"/>
          <w:highlight w:val="none"/>
        </w:rPr>
        <w:t xml:space="preserve"> 其报价将被拒绝。</w:t>
      </w:r>
    </w:p>
    <w:p w14:paraId="3846C87E">
      <w:pPr>
        <w:spacing w:line="360" w:lineRule="auto"/>
        <w:ind w:firstLine="420" w:firstLineChars="200"/>
        <w:rPr>
          <w:rFonts w:ascii="宋体" w:hAnsi="宋体"/>
          <w:color w:val="auto"/>
          <w:highlight w:val="none"/>
        </w:rPr>
      </w:pPr>
      <w:r>
        <w:rPr>
          <w:rFonts w:hint="eastAsia" w:ascii="宋体" w:hAnsi="宋体"/>
          <w:color w:val="auto"/>
          <w:highlight w:val="none"/>
        </w:rPr>
        <w:t>（2）符合性检查。依据招</w:t>
      </w:r>
      <w:r>
        <w:rPr>
          <w:rFonts w:hint="eastAsia" w:ascii="宋体" w:hAnsi="宋体"/>
          <w:color w:val="auto"/>
          <w:highlight w:val="none"/>
          <w:lang w:eastAsia="zh-CN"/>
        </w:rPr>
        <w:t>选</w:t>
      </w:r>
      <w:r>
        <w:rPr>
          <w:rFonts w:hint="eastAsia" w:ascii="宋体" w:hAnsi="宋体"/>
          <w:color w:val="auto"/>
          <w:highlight w:val="none"/>
        </w:rPr>
        <w:t>文件的规定，评审小组还将从</w:t>
      </w:r>
      <w:r>
        <w:rPr>
          <w:rFonts w:hint="eastAsia" w:ascii="宋体" w:hAnsi="宋体"/>
          <w:color w:val="auto"/>
          <w:highlight w:val="none"/>
          <w:lang w:val="en-US" w:eastAsia="zh-CN"/>
        </w:rPr>
        <w:t>参选</w:t>
      </w:r>
      <w:r>
        <w:rPr>
          <w:rFonts w:hint="eastAsia" w:ascii="宋体" w:hAnsi="宋体"/>
          <w:color w:val="auto"/>
          <w:highlight w:val="none"/>
        </w:rPr>
        <w:t>文件的有效性、完整性和对</w:t>
      </w:r>
      <w:r>
        <w:rPr>
          <w:rFonts w:hint="eastAsia" w:ascii="宋体" w:hAnsi="宋体"/>
          <w:color w:val="auto"/>
          <w:highlight w:val="none"/>
          <w:lang w:val="en-US" w:eastAsia="zh-CN"/>
        </w:rPr>
        <w:t>参选</w:t>
      </w:r>
      <w:r>
        <w:rPr>
          <w:rFonts w:hint="eastAsia" w:ascii="宋体" w:hAnsi="宋体"/>
          <w:color w:val="auto"/>
          <w:highlight w:val="none"/>
        </w:rPr>
        <w:t>文件的响应程度进行审查，以确定是否对招</w:t>
      </w:r>
      <w:r>
        <w:rPr>
          <w:rFonts w:hint="eastAsia" w:ascii="宋体" w:hAnsi="宋体"/>
          <w:color w:val="auto"/>
          <w:highlight w:val="none"/>
          <w:lang w:eastAsia="zh-CN"/>
        </w:rPr>
        <w:t>选</w:t>
      </w:r>
      <w:r>
        <w:rPr>
          <w:rFonts w:hint="eastAsia" w:ascii="宋体" w:hAnsi="宋体"/>
          <w:color w:val="auto"/>
          <w:highlight w:val="none"/>
        </w:rPr>
        <w:t>文件的实质性要求作出响应。</w:t>
      </w:r>
    </w:p>
    <w:p w14:paraId="2AA3E8B8">
      <w:pPr>
        <w:ind w:firstLine="420" w:firstLineChars="200"/>
        <w:rPr>
          <w:rFonts w:hint="eastAsia"/>
          <w:color w:val="auto"/>
          <w:highlight w:val="none"/>
        </w:rPr>
      </w:pPr>
      <w:r>
        <w:rPr>
          <w:rFonts w:hint="eastAsia"/>
          <w:color w:val="auto"/>
          <w:highlight w:val="none"/>
        </w:rPr>
        <w:t>凡有下列情况之一者，</w:t>
      </w:r>
      <w:r>
        <w:rPr>
          <w:rFonts w:hint="eastAsia"/>
          <w:color w:val="auto"/>
          <w:highlight w:val="none"/>
          <w:lang w:val="en-US" w:eastAsia="zh-CN"/>
        </w:rPr>
        <w:t>参选</w:t>
      </w:r>
      <w:r>
        <w:rPr>
          <w:rFonts w:hint="eastAsia"/>
          <w:color w:val="auto"/>
          <w:highlight w:val="none"/>
        </w:rPr>
        <w:t>文件也将被视为未实质性响应</w:t>
      </w:r>
      <w:r>
        <w:rPr>
          <w:rFonts w:hint="eastAsia"/>
          <w:color w:val="auto"/>
          <w:highlight w:val="none"/>
          <w:lang w:val="en-US" w:eastAsia="zh-CN"/>
        </w:rPr>
        <w:t>参选</w:t>
      </w:r>
      <w:r>
        <w:rPr>
          <w:rFonts w:hint="eastAsia"/>
          <w:color w:val="auto"/>
          <w:highlight w:val="none"/>
        </w:rPr>
        <w:t>文件要求：</w:t>
      </w:r>
    </w:p>
    <w:p w14:paraId="0E9FF780">
      <w:pPr>
        <w:rPr>
          <w:rFonts w:hint="eastAsia"/>
          <w:color w:val="auto"/>
          <w:highlight w:val="none"/>
        </w:rPr>
      </w:pPr>
      <w:r>
        <w:rPr>
          <w:rFonts w:hint="eastAsia"/>
          <w:color w:val="auto"/>
          <w:highlight w:val="none"/>
        </w:rPr>
        <w:fldChar w:fldCharType="begin"/>
      </w:r>
      <w:r>
        <w:rPr>
          <w:rFonts w:hint="eastAsia"/>
          <w:color w:val="auto"/>
          <w:highlight w:val="none"/>
        </w:rPr>
        <w:instrText xml:space="preserve"> = 1 \* GB3 </w:instrText>
      </w:r>
      <w:r>
        <w:rPr>
          <w:rFonts w:hint="eastAsia"/>
          <w:color w:val="auto"/>
          <w:highlight w:val="none"/>
        </w:rPr>
        <w:fldChar w:fldCharType="separate"/>
      </w:r>
      <w:r>
        <w:rPr>
          <w:rFonts w:hint="eastAsia"/>
          <w:color w:val="auto"/>
          <w:highlight w:val="none"/>
        </w:rPr>
        <w:t>①</w:t>
      </w:r>
      <w:r>
        <w:rPr>
          <w:rFonts w:hint="eastAsia"/>
          <w:color w:val="auto"/>
          <w:highlight w:val="none"/>
        </w:rPr>
        <w:fldChar w:fldCharType="end"/>
      </w:r>
      <w:r>
        <w:rPr>
          <w:rFonts w:hint="eastAsia"/>
          <w:color w:val="auto"/>
          <w:highlight w:val="none"/>
        </w:rPr>
        <w:t>未按规定由</w:t>
      </w:r>
      <w:r>
        <w:rPr>
          <w:rFonts w:hint="eastAsia"/>
          <w:color w:val="auto"/>
          <w:highlight w:val="none"/>
          <w:lang w:val="en-US" w:eastAsia="zh-CN"/>
        </w:rPr>
        <w:t>参选人</w:t>
      </w:r>
      <w:r>
        <w:rPr>
          <w:rFonts w:hint="eastAsia"/>
          <w:color w:val="auto"/>
          <w:highlight w:val="none"/>
        </w:rPr>
        <w:t>的法定代表人或其授权代表签字，或未加盖</w:t>
      </w:r>
      <w:r>
        <w:rPr>
          <w:rFonts w:hint="eastAsia"/>
          <w:color w:val="auto"/>
          <w:highlight w:val="none"/>
          <w:lang w:val="en-US" w:eastAsia="zh-CN"/>
        </w:rPr>
        <w:t>参选人</w:t>
      </w:r>
      <w:r>
        <w:rPr>
          <w:rFonts w:hint="eastAsia"/>
          <w:color w:val="auto"/>
          <w:highlight w:val="none"/>
        </w:rPr>
        <w:t>公章的；或签字人未经法定代表人有效授权委托的；</w:t>
      </w:r>
    </w:p>
    <w:p w14:paraId="3003FDF8">
      <w:pPr>
        <w:rPr>
          <w:rFonts w:hint="eastAsia"/>
          <w:color w:val="auto"/>
          <w:highlight w:val="none"/>
        </w:rPr>
      </w:pPr>
      <w:r>
        <w:rPr>
          <w:rFonts w:hint="eastAsia"/>
          <w:color w:val="auto"/>
          <w:highlight w:val="none"/>
        </w:rPr>
        <w:fldChar w:fldCharType="begin"/>
      </w:r>
      <w:r>
        <w:rPr>
          <w:rFonts w:hint="eastAsia"/>
          <w:color w:val="auto"/>
          <w:highlight w:val="none"/>
        </w:rPr>
        <w:instrText xml:space="preserve"> = 2 \* GB3 </w:instrText>
      </w:r>
      <w:r>
        <w:rPr>
          <w:rFonts w:hint="eastAsia"/>
          <w:color w:val="auto"/>
          <w:highlight w:val="none"/>
        </w:rPr>
        <w:fldChar w:fldCharType="separate"/>
      </w:r>
      <w:r>
        <w:rPr>
          <w:rFonts w:hint="eastAsia"/>
          <w:color w:val="auto"/>
          <w:highlight w:val="none"/>
        </w:rPr>
        <w:t>②</w:t>
      </w:r>
      <w:r>
        <w:rPr>
          <w:rFonts w:hint="eastAsia"/>
          <w:color w:val="auto"/>
          <w:highlight w:val="none"/>
        </w:rPr>
        <w:fldChar w:fldCharType="end"/>
      </w:r>
      <w:r>
        <w:rPr>
          <w:rFonts w:hint="eastAsia"/>
          <w:color w:val="auto"/>
          <w:highlight w:val="none"/>
          <w:lang w:val="en-US" w:eastAsia="zh-CN"/>
        </w:rPr>
        <w:t>参选</w:t>
      </w:r>
      <w:r>
        <w:rPr>
          <w:rFonts w:hint="eastAsia"/>
          <w:color w:val="auto"/>
          <w:highlight w:val="none"/>
        </w:rPr>
        <w:t>文件内容与招</w:t>
      </w:r>
      <w:r>
        <w:rPr>
          <w:rFonts w:hint="eastAsia"/>
          <w:color w:val="auto"/>
          <w:highlight w:val="none"/>
          <w:lang w:val="en-US" w:eastAsia="zh-CN"/>
        </w:rPr>
        <w:t>选</w:t>
      </w:r>
      <w:r>
        <w:rPr>
          <w:rFonts w:hint="eastAsia"/>
          <w:color w:val="auto"/>
          <w:highlight w:val="none"/>
        </w:rPr>
        <w:t>内容及要求有重大偏离或保留的；</w:t>
      </w:r>
    </w:p>
    <w:p w14:paraId="5B36781A">
      <w:pPr>
        <w:rPr>
          <w:rFonts w:hint="eastAsia"/>
          <w:color w:val="auto"/>
          <w:highlight w:val="none"/>
        </w:rPr>
      </w:pPr>
      <w:r>
        <w:rPr>
          <w:rFonts w:hint="eastAsia"/>
          <w:color w:val="auto"/>
          <w:highlight w:val="none"/>
        </w:rPr>
        <w:fldChar w:fldCharType="begin"/>
      </w:r>
      <w:r>
        <w:rPr>
          <w:rFonts w:hint="eastAsia"/>
          <w:color w:val="auto"/>
          <w:highlight w:val="none"/>
        </w:rPr>
        <w:instrText xml:space="preserve"> = 3 \* GB3 </w:instrText>
      </w:r>
      <w:r>
        <w:rPr>
          <w:rFonts w:hint="eastAsia"/>
          <w:color w:val="auto"/>
          <w:highlight w:val="none"/>
        </w:rPr>
        <w:fldChar w:fldCharType="separate"/>
      </w:r>
      <w:r>
        <w:rPr>
          <w:rFonts w:hint="eastAsia"/>
          <w:color w:val="auto"/>
          <w:highlight w:val="none"/>
        </w:rPr>
        <w:t>③</w:t>
      </w:r>
      <w:r>
        <w:rPr>
          <w:rFonts w:hint="eastAsia"/>
          <w:color w:val="auto"/>
          <w:highlight w:val="none"/>
        </w:rPr>
        <w:fldChar w:fldCharType="end"/>
      </w:r>
      <w:r>
        <w:rPr>
          <w:rFonts w:hint="eastAsia"/>
          <w:color w:val="auto"/>
          <w:highlight w:val="none"/>
          <w:lang w:val="en-US" w:eastAsia="zh-CN"/>
        </w:rPr>
        <w:t>参选</w:t>
      </w:r>
      <w:r>
        <w:rPr>
          <w:rFonts w:hint="eastAsia"/>
          <w:color w:val="auto"/>
          <w:highlight w:val="none"/>
        </w:rPr>
        <w:t>人提交的是可选择的报价或</w:t>
      </w:r>
      <w:r>
        <w:rPr>
          <w:rFonts w:hint="eastAsia"/>
          <w:color w:val="auto"/>
          <w:highlight w:val="none"/>
          <w:lang w:val="en-US" w:eastAsia="zh-CN"/>
        </w:rPr>
        <w:t>参选</w:t>
      </w:r>
      <w:r>
        <w:rPr>
          <w:rFonts w:hint="eastAsia"/>
          <w:color w:val="auto"/>
          <w:highlight w:val="none"/>
        </w:rPr>
        <w:t>报价高于最高控制价的；</w:t>
      </w:r>
    </w:p>
    <w:p w14:paraId="19F5C54E">
      <w:pPr>
        <w:rPr>
          <w:rFonts w:hint="eastAsia"/>
          <w:color w:val="auto"/>
          <w:highlight w:val="none"/>
        </w:rPr>
      </w:pPr>
      <w:r>
        <w:rPr>
          <w:rFonts w:hint="eastAsia"/>
          <w:color w:val="auto"/>
          <w:highlight w:val="none"/>
        </w:rPr>
        <w:fldChar w:fldCharType="begin"/>
      </w:r>
      <w:r>
        <w:rPr>
          <w:rFonts w:hint="eastAsia"/>
          <w:color w:val="auto"/>
          <w:highlight w:val="none"/>
        </w:rPr>
        <w:instrText xml:space="preserve"> = 4 \* GB3 </w:instrText>
      </w:r>
      <w:r>
        <w:rPr>
          <w:rFonts w:hint="eastAsia"/>
          <w:color w:val="auto"/>
          <w:highlight w:val="none"/>
        </w:rPr>
        <w:fldChar w:fldCharType="separate"/>
      </w:r>
      <w:r>
        <w:rPr>
          <w:rFonts w:hint="eastAsia"/>
          <w:color w:val="auto"/>
          <w:highlight w:val="none"/>
        </w:rPr>
        <w:t>④</w:t>
      </w:r>
      <w:r>
        <w:rPr>
          <w:rFonts w:hint="eastAsia"/>
          <w:color w:val="auto"/>
          <w:highlight w:val="none"/>
        </w:rPr>
        <w:fldChar w:fldCharType="end"/>
      </w:r>
      <w:r>
        <w:rPr>
          <w:rFonts w:hint="eastAsia"/>
          <w:color w:val="auto"/>
          <w:highlight w:val="none"/>
        </w:rPr>
        <w:t>未按招</w:t>
      </w:r>
      <w:r>
        <w:rPr>
          <w:rFonts w:hint="eastAsia"/>
          <w:color w:val="auto"/>
          <w:highlight w:val="none"/>
          <w:lang w:val="en-US" w:eastAsia="zh-CN"/>
        </w:rPr>
        <w:t>选</w:t>
      </w:r>
      <w:r>
        <w:rPr>
          <w:rFonts w:hint="eastAsia"/>
          <w:color w:val="auto"/>
          <w:highlight w:val="none"/>
        </w:rPr>
        <w:t>文件提供的工程量清单逐项列项，增减或修改工程量清单项目与数量的；</w:t>
      </w:r>
    </w:p>
    <w:p w14:paraId="40B7A399">
      <w:pPr>
        <w:rPr>
          <w:rFonts w:hint="eastAsia"/>
          <w:color w:val="auto"/>
          <w:highlight w:val="none"/>
          <w:lang w:val="en-US" w:eastAsia="zh-CN"/>
        </w:rPr>
      </w:pPr>
      <w:r>
        <w:rPr>
          <w:rFonts w:hint="eastAsia" w:ascii="微软雅黑" w:hAnsi="微软雅黑" w:eastAsia="微软雅黑" w:cs="微软雅黑"/>
          <w:color w:val="auto"/>
          <w:highlight w:val="none"/>
          <w:lang w:val="en-US" w:eastAsia="zh-CN"/>
        </w:rPr>
        <w:t>⑤</w:t>
      </w:r>
      <w:r>
        <w:rPr>
          <w:rFonts w:hint="eastAsia"/>
          <w:color w:val="auto"/>
          <w:highlight w:val="none"/>
          <w:lang w:val="en-US" w:eastAsia="zh-CN"/>
        </w:rPr>
        <w:t>若参选人曾参与第一次招选，其报价不得高于第一次参选报价</w:t>
      </w:r>
    </w:p>
    <w:p w14:paraId="505CCE82">
      <w:pPr>
        <w:rPr>
          <w:rFonts w:hint="eastAsia"/>
          <w:color w:val="auto"/>
          <w:highlight w:val="none"/>
        </w:rPr>
      </w:pPr>
      <w:r>
        <w:rPr>
          <w:rFonts w:hint="eastAsia" w:ascii="微软雅黑" w:hAnsi="微软雅黑" w:eastAsia="微软雅黑" w:cs="微软雅黑"/>
          <w:color w:val="auto"/>
          <w:highlight w:val="none"/>
        </w:rPr>
        <w:t>⑥</w:t>
      </w:r>
      <w:r>
        <w:rPr>
          <w:rFonts w:hint="eastAsia"/>
          <w:color w:val="auto"/>
          <w:highlight w:val="none"/>
        </w:rPr>
        <w:t>不符合招</w:t>
      </w:r>
      <w:r>
        <w:rPr>
          <w:rFonts w:hint="eastAsia"/>
          <w:color w:val="auto"/>
          <w:highlight w:val="none"/>
          <w:lang w:eastAsia="zh-CN"/>
        </w:rPr>
        <w:t>选</w:t>
      </w:r>
      <w:r>
        <w:rPr>
          <w:rFonts w:hint="eastAsia"/>
          <w:color w:val="auto"/>
          <w:highlight w:val="none"/>
        </w:rPr>
        <w:t>文件中规定的</w:t>
      </w:r>
      <w:r>
        <w:rPr>
          <w:rFonts w:hint="eastAsia"/>
          <w:color w:val="auto"/>
          <w:highlight w:val="none"/>
          <w:lang w:eastAsia="zh-CN"/>
        </w:rPr>
        <w:t>其他</w:t>
      </w:r>
      <w:r>
        <w:rPr>
          <w:rFonts w:hint="eastAsia"/>
          <w:color w:val="auto"/>
          <w:highlight w:val="none"/>
        </w:rPr>
        <w:t xml:space="preserve">实质性条款。 </w:t>
      </w:r>
    </w:p>
    <w:p w14:paraId="2D88D0AA">
      <w:pPr>
        <w:pStyle w:val="6"/>
        <w:snapToGrid w:val="0"/>
        <w:spacing w:before="0" w:after="0" w:line="360" w:lineRule="auto"/>
        <w:rPr>
          <w:rFonts w:asciiTheme="majorEastAsia" w:hAnsiTheme="majorEastAsia" w:eastAsiaTheme="majorEastAsia"/>
          <w:color w:val="auto"/>
          <w:sz w:val="28"/>
          <w:szCs w:val="28"/>
          <w:highlight w:val="none"/>
        </w:rPr>
      </w:pPr>
      <w:bookmarkStart w:id="242" w:name="_Toc515441293"/>
      <w:bookmarkStart w:id="243" w:name="_Toc50734470"/>
      <w:bookmarkStart w:id="244" w:name="_Toc7186395"/>
      <w:bookmarkStart w:id="245" w:name="_Toc120110805"/>
      <w:bookmarkStart w:id="246" w:name="_Toc511645091"/>
      <w:bookmarkStart w:id="247" w:name="_Toc51340237"/>
      <w:bookmarkStart w:id="248" w:name="_Toc511644477"/>
      <w:bookmarkStart w:id="249" w:name="_Toc46475140"/>
      <w:r>
        <w:rPr>
          <w:rFonts w:hint="eastAsia" w:asciiTheme="majorEastAsia" w:hAnsiTheme="majorEastAsia" w:eastAsiaTheme="majorEastAsia"/>
          <w:color w:val="auto"/>
          <w:sz w:val="28"/>
          <w:szCs w:val="28"/>
          <w:highlight w:val="none"/>
        </w:rPr>
        <w:t>3.6 备选</w:t>
      </w:r>
      <w:r>
        <w:rPr>
          <w:rFonts w:hint="eastAsia" w:ascii="宋体" w:hAnsi="宋体"/>
          <w:b/>
          <w:color w:val="auto"/>
          <w:sz w:val="28"/>
          <w:szCs w:val="28"/>
          <w:highlight w:val="none"/>
          <w:lang w:val="en-US" w:eastAsia="zh-CN"/>
        </w:rPr>
        <w:t>参选</w:t>
      </w:r>
      <w:r>
        <w:rPr>
          <w:rFonts w:hint="eastAsia" w:asciiTheme="majorEastAsia" w:hAnsiTheme="majorEastAsia" w:eastAsiaTheme="majorEastAsia"/>
          <w:color w:val="auto"/>
          <w:sz w:val="28"/>
          <w:szCs w:val="28"/>
          <w:highlight w:val="none"/>
        </w:rPr>
        <w:t>方案</w:t>
      </w:r>
      <w:bookmarkEnd w:id="242"/>
      <w:bookmarkEnd w:id="243"/>
      <w:bookmarkEnd w:id="244"/>
      <w:bookmarkEnd w:id="245"/>
      <w:bookmarkEnd w:id="246"/>
      <w:bookmarkEnd w:id="247"/>
      <w:bookmarkEnd w:id="248"/>
      <w:bookmarkEnd w:id="249"/>
    </w:p>
    <w:p w14:paraId="0AD1C9D5">
      <w:pPr>
        <w:widowControl/>
        <w:shd w:val="clear" w:color="auto" w:fill="FFFFFF"/>
        <w:snapToGrid w:val="0"/>
        <w:spacing w:line="360" w:lineRule="auto"/>
        <w:ind w:firstLine="420" w:firstLineChars="200"/>
        <w:jc w:val="left"/>
        <w:rPr>
          <w:rFonts w:hint="default" w:asciiTheme="minorEastAsia" w:hAnsiTheme="minorEastAsia" w:eastAsiaTheme="minorEastAsia"/>
          <w:color w:val="auto"/>
          <w:szCs w:val="21"/>
          <w:highlight w:val="none"/>
          <w:lang w:val="en-US" w:eastAsia="zh-CN"/>
        </w:rPr>
      </w:pPr>
      <w:r>
        <w:rPr>
          <w:rFonts w:hint="eastAsia" w:asciiTheme="minorEastAsia" w:hAnsiTheme="minorEastAsia"/>
          <w:color w:val="auto"/>
          <w:szCs w:val="21"/>
          <w:highlight w:val="none"/>
        </w:rPr>
        <w:t>3.6.1</w:t>
      </w:r>
      <w:r>
        <w:rPr>
          <w:rFonts w:hint="eastAsia" w:asciiTheme="minorEastAsia" w:hAnsiTheme="minorEastAsia"/>
          <w:color w:val="auto"/>
          <w:szCs w:val="21"/>
          <w:highlight w:val="none"/>
          <w:lang w:val="en-US" w:eastAsia="zh-CN"/>
        </w:rPr>
        <w:t>除参选人须知前附表规定允许外，参选人不得递交备选参选方案，否则其参选文件将被否决。</w:t>
      </w:r>
    </w:p>
    <w:p w14:paraId="53050E43">
      <w:pPr>
        <w:pStyle w:val="6"/>
        <w:snapToGrid w:val="0"/>
        <w:spacing w:before="0" w:after="0" w:line="360" w:lineRule="auto"/>
        <w:rPr>
          <w:rFonts w:asciiTheme="majorEastAsia" w:hAnsiTheme="majorEastAsia" w:eastAsiaTheme="majorEastAsia"/>
          <w:color w:val="auto"/>
          <w:sz w:val="28"/>
          <w:szCs w:val="28"/>
          <w:highlight w:val="none"/>
        </w:rPr>
      </w:pPr>
      <w:bookmarkStart w:id="250" w:name="_Toc511645092"/>
      <w:bookmarkStart w:id="251" w:name="_Toc50734471"/>
      <w:bookmarkStart w:id="252" w:name="_Toc120110806"/>
      <w:bookmarkStart w:id="253" w:name="_Toc7186396"/>
      <w:bookmarkStart w:id="254" w:name="_Toc511644478"/>
      <w:bookmarkStart w:id="255" w:name="_Toc515441294"/>
      <w:bookmarkStart w:id="256" w:name="_Toc51340238"/>
      <w:bookmarkStart w:id="257" w:name="_Toc46475141"/>
      <w:r>
        <w:rPr>
          <w:rFonts w:hint="eastAsia" w:asciiTheme="majorEastAsia" w:hAnsiTheme="majorEastAsia" w:eastAsiaTheme="majorEastAsia"/>
          <w:color w:val="auto"/>
          <w:sz w:val="28"/>
          <w:szCs w:val="28"/>
          <w:highlight w:val="none"/>
        </w:rPr>
        <w:t xml:space="preserve">3.7 </w:t>
      </w:r>
      <w:r>
        <w:rPr>
          <w:rFonts w:hint="eastAsia" w:asciiTheme="majorEastAsia" w:hAnsiTheme="majorEastAsia" w:eastAsiaTheme="majorEastAsia"/>
          <w:color w:val="auto"/>
          <w:sz w:val="28"/>
          <w:szCs w:val="28"/>
          <w:highlight w:val="none"/>
          <w:lang w:val="en-US" w:eastAsia="zh-CN"/>
        </w:rPr>
        <w:t>参选</w:t>
      </w:r>
      <w:r>
        <w:rPr>
          <w:rFonts w:hint="eastAsia" w:asciiTheme="majorEastAsia" w:hAnsiTheme="majorEastAsia" w:eastAsiaTheme="majorEastAsia"/>
          <w:color w:val="auto"/>
          <w:sz w:val="28"/>
          <w:szCs w:val="28"/>
          <w:highlight w:val="none"/>
        </w:rPr>
        <w:t>文件的编制</w:t>
      </w:r>
      <w:bookmarkEnd w:id="250"/>
      <w:bookmarkEnd w:id="251"/>
      <w:bookmarkEnd w:id="252"/>
      <w:bookmarkEnd w:id="253"/>
      <w:bookmarkEnd w:id="254"/>
      <w:bookmarkEnd w:id="255"/>
      <w:bookmarkEnd w:id="256"/>
      <w:bookmarkEnd w:id="257"/>
    </w:p>
    <w:p w14:paraId="69A21256">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 xml:space="preserve">3.7.1 </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文件应按第</w:t>
      </w:r>
      <w:r>
        <w:rPr>
          <w:rFonts w:hint="eastAsia" w:asciiTheme="minorEastAsia" w:hAnsiTheme="minorEastAsia"/>
          <w:color w:val="auto"/>
          <w:szCs w:val="21"/>
          <w:highlight w:val="none"/>
          <w:lang w:val="en-US" w:eastAsia="zh-CN"/>
        </w:rPr>
        <w:t>六</w:t>
      </w:r>
      <w:r>
        <w:rPr>
          <w:rFonts w:hint="eastAsia" w:asciiTheme="minorEastAsia" w:hAnsiTheme="minorEastAsia"/>
          <w:color w:val="auto"/>
          <w:szCs w:val="21"/>
          <w:highlight w:val="none"/>
        </w:rPr>
        <w:t>章“</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文件格式”进行编写，如有必要，可以增加附页，作为</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文件的组成部分。</w:t>
      </w:r>
    </w:p>
    <w:p w14:paraId="0A110063">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 xml:space="preserve">3.7.2 </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文件应当对招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文件有关供货期、</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有效期、供货要求、招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范围等实质性内容作出响应。</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文件在满足招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文件实质性要求的基础上，可以提出比招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文件要求更有利于招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人的承诺。</w:t>
      </w:r>
    </w:p>
    <w:p w14:paraId="4C562541">
      <w:pPr>
        <w:pStyle w:val="5"/>
        <w:adjustRightInd w:val="0"/>
        <w:snapToGrid w:val="0"/>
        <w:spacing w:before="0" w:after="0" w:line="360" w:lineRule="auto"/>
        <w:rPr>
          <w:rFonts w:hint="eastAsia" w:asciiTheme="majorEastAsia" w:hAnsiTheme="majorEastAsia" w:eastAsiaTheme="majorEastAsia"/>
          <w:color w:val="auto"/>
          <w:sz w:val="28"/>
          <w:szCs w:val="28"/>
          <w:highlight w:val="none"/>
          <w:lang w:eastAsia="zh-CN"/>
        </w:rPr>
      </w:pPr>
      <w:bookmarkStart w:id="258" w:name="_Toc51340239"/>
      <w:bookmarkStart w:id="259" w:name="_Toc120110807"/>
      <w:bookmarkStart w:id="260" w:name="_Toc515441295"/>
      <w:bookmarkStart w:id="261" w:name="_Toc50734472"/>
      <w:bookmarkStart w:id="262" w:name="_Toc511644479"/>
      <w:bookmarkStart w:id="263" w:name="_Toc511645093"/>
      <w:bookmarkStart w:id="264" w:name="_Toc46475142"/>
      <w:bookmarkStart w:id="265" w:name="_Toc7186397"/>
      <w:r>
        <w:rPr>
          <w:rFonts w:hint="eastAsia" w:asciiTheme="majorEastAsia" w:hAnsiTheme="majorEastAsia"/>
          <w:color w:val="auto"/>
          <w:sz w:val="28"/>
          <w:szCs w:val="28"/>
          <w:highlight w:val="none"/>
        </w:rPr>
        <w:t xml:space="preserve">4. </w:t>
      </w:r>
      <w:bookmarkEnd w:id="258"/>
      <w:bookmarkEnd w:id="259"/>
      <w:bookmarkEnd w:id="260"/>
      <w:bookmarkEnd w:id="261"/>
      <w:bookmarkEnd w:id="262"/>
      <w:bookmarkEnd w:id="263"/>
      <w:bookmarkEnd w:id="264"/>
      <w:bookmarkEnd w:id="265"/>
      <w:r>
        <w:rPr>
          <w:rFonts w:hint="eastAsia" w:asciiTheme="majorEastAsia" w:hAnsiTheme="majorEastAsia"/>
          <w:color w:val="auto"/>
          <w:sz w:val="28"/>
          <w:szCs w:val="28"/>
          <w:highlight w:val="none"/>
          <w:lang w:val="en-US" w:eastAsia="zh-CN"/>
        </w:rPr>
        <w:t>参选</w:t>
      </w:r>
    </w:p>
    <w:p w14:paraId="513B2A45">
      <w:pPr>
        <w:pStyle w:val="6"/>
        <w:snapToGrid w:val="0"/>
        <w:spacing w:before="0" w:after="0" w:line="360" w:lineRule="auto"/>
        <w:rPr>
          <w:rFonts w:asciiTheme="majorEastAsia" w:hAnsiTheme="majorEastAsia" w:eastAsiaTheme="majorEastAsia"/>
          <w:color w:val="auto"/>
          <w:sz w:val="28"/>
          <w:szCs w:val="28"/>
          <w:highlight w:val="none"/>
        </w:rPr>
      </w:pPr>
      <w:bookmarkStart w:id="266" w:name="_Toc50734473"/>
      <w:bookmarkStart w:id="267" w:name="_Toc51340240"/>
      <w:bookmarkStart w:id="268" w:name="_Toc511644480"/>
      <w:bookmarkStart w:id="269" w:name="_Toc7186398"/>
      <w:bookmarkStart w:id="270" w:name="_Toc46475143"/>
      <w:bookmarkStart w:id="271" w:name="_Toc515441296"/>
      <w:bookmarkStart w:id="272" w:name="_Toc511645094"/>
      <w:bookmarkStart w:id="273" w:name="_Toc120110808"/>
      <w:r>
        <w:rPr>
          <w:rFonts w:hint="eastAsia" w:asciiTheme="majorEastAsia" w:hAnsiTheme="majorEastAsia" w:eastAsiaTheme="majorEastAsia"/>
          <w:color w:val="auto"/>
          <w:sz w:val="28"/>
          <w:szCs w:val="28"/>
          <w:highlight w:val="none"/>
        </w:rPr>
        <w:t xml:space="preserve">4.1 </w:t>
      </w:r>
      <w:r>
        <w:rPr>
          <w:rFonts w:hint="eastAsia" w:asciiTheme="majorEastAsia" w:hAnsiTheme="majorEastAsia" w:eastAsiaTheme="majorEastAsia"/>
          <w:color w:val="auto"/>
          <w:sz w:val="28"/>
          <w:szCs w:val="28"/>
          <w:highlight w:val="none"/>
          <w:lang w:val="en-US" w:eastAsia="zh-CN"/>
        </w:rPr>
        <w:t>参选</w:t>
      </w:r>
      <w:r>
        <w:rPr>
          <w:rFonts w:hint="eastAsia" w:asciiTheme="majorEastAsia" w:hAnsiTheme="majorEastAsia" w:eastAsiaTheme="majorEastAsia"/>
          <w:color w:val="auto"/>
          <w:sz w:val="28"/>
          <w:szCs w:val="28"/>
          <w:highlight w:val="none"/>
        </w:rPr>
        <w:t>文件的</w:t>
      </w:r>
      <w:bookmarkEnd w:id="266"/>
      <w:bookmarkEnd w:id="267"/>
      <w:bookmarkEnd w:id="268"/>
      <w:bookmarkEnd w:id="269"/>
      <w:bookmarkEnd w:id="270"/>
      <w:bookmarkEnd w:id="271"/>
      <w:bookmarkEnd w:id="272"/>
      <w:r>
        <w:rPr>
          <w:rFonts w:hint="eastAsia" w:asciiTheme="majorEastAsia" w:hAnsiTheme="majorEastAsia" w:eastAsiaTheme="majorEastAsia"/>
          <w:color w:val="auto"/>
          <w:sz w:val="28"/>
          <w:szCs w:val="28"/>
          <w:highlight w:val="none"/>
        </w:rPr>
        <w:t>密封</w:t>
      </w:r>
      <w:bookmarkEnd w:id="273"/>
    </w:p>
    <w:p w14:paraId="110C72F0">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 xml:space="preserve">4.1.1 </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人应当按照招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文件的要求密封</w:t>
      </w:r>
      <w:r>
        <w:rPr>
          <w:rFonts w:hint="eastAsia" w:asciiTheme="minorEastAsia" w:hAnsiTheme="minorEastAsia"/>
          <w:color w:val="auto"/>
          <w:szCs w:val="21"/>
          <w:highlight w:val="none"/>
          <w:lang w:eastAsia="zh-CN"/>
        </w:rPr>
        <w:t>参选</w:t>
      </w:r>
      <w:r>
        <w:rPr>
          <w:rFonts w:hint="eastAsia" w:asciiTheme="minorEastAsia" w:hAnsiTheme="minorEastAsia"/>
          <w:color w:val="auto"/>
          <w:szCs w:val="21"/>
          <w:highlight w:val="none"/>
        </w:rPr>
        <w:t>文件，具体要求见</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人须知前附表。</w:t>
      </w:r>
    </w:p>
    <w:p w14:paraId="1B268AFE">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4.1.2 未按本章第4.1.1项要求加密的</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文件，招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人将予以拒收。</w:t>
      </w:r>
    </w:p>
    <w:p w14:paraId="7055E2EE">
      <w:pPr>
        <w:pStyle w:val="6"/>
        <w:snapToGrid w:val="0"/>
        <w:spacing w:before="0" w:after="0" w:line="360" w:lineRule="auto"/>
        <w:rPr>
          <w:rFonts w:asciiTheme="majorEastAsia" w:hAnsiTheme="majorEastAsia" w:eastAsiaTheme="majorEastAsia"/>
          <w:color w:val="auto"/>
          <w:sz w:val="28"/>
          <w:szCs w:val="28"/>
          <w:highlight w:val="none"/>
        </w:rPr>
      </w:pPr>
      <w:bookmarkStart w:id="274" w:name="_Toc46475144"/>
      <w:bookmarkStart w:id="275" w:name="_Toc50734474"/>
      <w:bookmarkStart w:id="276" w:name="_Toc7186399"/>
      <w:bookmarkStart w:id="277" w:name="_Toc51340241"/>
      <w:bookmarkStart w:id="278" w:name="_Toc120110809"/>
      <w:bookmarkStart w:id="279" w:name="_Toc511645095"/>
      <w:bookmarkStart w:id="280" w:name="_Toc511644481"/>
      <w:bookmarkStart w:id="281" w:name="_Toc515441297"/>
      <w:r>
        <w:rPr>
          <w:rFonts w:hint="eastAsia" w:asciiTheme="majorEastAsia" w:hAnsiTheme="majorEastAsia" w:eastAsiaTheme="majorEastAsia"/>
          <w:color w:val="auto"/>
          <w:sz w:val="28"/>
          <w:szCs w:val="28"/>
          <w:highlight w:val="none"/>
        </w:rPr>
        <w:t xml:space="preserve">4.2 </w:t>
      </w:r>
      <w:r>
        <w:rPr>
          <w:rFonts w:hint="eastAsia" w:asciiTheme="majorEastAsia" w:hAnsiTheme="majorEastAsia" w:eastAsiaTheme="majorEastAsia"/>
          <w:color w:val="auto"/>
          <w:sz w:val="28"/>
          <w:szCs w:val="28"/>
          <w:highlight w:val="none"/>
          <w:lang w:val="en-US" w:eastAsia="zh-CN"/>
        </w:rPr>
        <w:t>参选</w:t>
      </w:r>
      <w:r>
        <w:rPr>
          <w:rFonts w:hint="eastAsia" w:asciiTheme="majorEastAsia" w:hAnsiTheme="majorEastAsia" w:eastAsiaTheme="majorEastAsia"/>
          <w:color w:val="auto"/>
          <w:sz w:val="28"/>
          <w:szCs w:val="28"/>
          <w:highlight w:val="none"/>
        </w:rPr>
        <w:t>文件的递交</w:t>
      </w:r>
      <w:bookmarkEnd w:id="274"/>
      <w:bookmarkEnd w:id="275"/>
      <w:bookmarkEnd w:id="276"/>
      <w:bookmarkEnd w:id="277"/>
      <w:bookmarkEnd w:id="278"/>
      <w:bookmarkEnd w:id="279"/>
      <w:bookmarkEnd w:id="280"/>
      <w:bookmarkEnd w:id="281"/>
    </w:p>
    <w:p w14:paraId="7C6091C9">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 xml:space="preserve">4.2.1 </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人应在</w:t>
      </w:r>
      <w:r>
        <w:rPr>
          <w:rFonts w:hint="eastAsia" w:asciiTheme="minorEastAsia" w:hAnsiTheme="minorEastAsia"/>
          <w:color w:val="auto"/>
          <w:szCs w:val="21"/>
          <w:highlight w:val="none"/>
          <w:lang w:eastAsia="zh-CN"/>
        </w:rPr>
        <w:t>参选</w:t>
      </w:r>
      <w:r>
        <w:rPr>
          <w:rFonts w:hint="eastAsia" w:asciiTheme="minorEastAsia" w:hAnsiTheme="minorEastAsia"/>
          <w:color w:val="auto"/>
          <w:szCs w:val="21"/>
          <w:highlight w:val="none"/>
        </w:rPr>
        <w:t>人须知前附表规定的</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截止时间前递交投</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文件。</w:t>
      </w:r>
    </w:p>
    <w:p w14:paraId="081CB714">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4.2.</w:t>
      </w:r>
      <w:r>
        <w:rPr>
          <w:rFonts w:asciiTheme="minorEastAsia" w:hAnsiTheme="minorEastAsia"/>
          <w:color w:val="auto"/>
          <w:szCs w:val="21"/>
          <w:highlight w:val="none"/>
        </w:rPr>
        <w:t>2</w:t>
      </w:r>
      <w:r>
        <w:rPr>
          <w:rFonts w:hint="eastAsia" w:asciiTheme="minorEastAsia" w:hAnsiTheme="minorEastAsia"/>
          <w:color w:val="auto"/>
          <w:szCs w:val="21"/>
          <w:highlight w:val="none"/>
        </w:rPr>
        <w:t xml:space="preserve"> 逾期送达的投</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文件，招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人将予以拒收。</w:t>
      </w:r>
    </w:p>
    <w:p w14:paraId="5D62E9BF">
      <w:pPr>
        <w:pStyle w:val="6"/>
        <w:snapToGrid w:val="0"/>
        <w:spacing w:before="0" w:after="0" w:line="360" w:lineRule="auto"/>
        <w:rPr>
          <w:b w:val="0"/>
          <w:color w:val="auto"/>
          <w:sz w:val="28"/>
          <w:szCs w:val="28"/>
          <w:highlight w:val="none"/>
        </w:rPr>
      </w:pPr>
      <w:bookmarkStart w:id="282" w:name="_Toc511645096"/>
      <w:bookmarkStart w:id="283" w:name="_Toc51340242"/>
      <w:bookmarkStart w:id="284" w:name="_Toc120110810"/>
      <w:bookmarkStart w:id="285" w:name="_Toc46475145"/>
      <w:bookmarkStart w:id="286" w:name="_Toc50734475"/>
      <w:bookmarkStart w:id="287" w:name="_Toc511644482"/>
      <w:bookmarkStart w:id="288" w:name="_Toc515441298"/>
      <w:bookmarkStart w:id="289" w:name="_Toc7186400"/>
      <w:r>
        <w:rPr>
          <w:rFonts w:hint="eastAsia" w:asciiTheme="majorEastAsia" w:hAnsiTheme="majorEastAsia" w:eastAsiaTheme="majorEastAsia"/>
          <w:color w:val="auto"/>
          <w:sz w:val="28"/>
          <w:szCs w:val="28"/>
          <w:highlight w:val="none"/>
        </w:rPr>
        <w:t xml:space="preserve">4.3 </w:t>
      </w:r>
      <w:r>
        <w:rPr>
          <w:rFonts w:hint="eastAsia" w:asciiTheme="majorEastAsia" w:hAnsiTheme="majorEastAsia" w:eastAsiaTheme="majorEastAsia"/>
          <w:color w:val="auto"/>
          <w:sz w:val="28"/>
          <w:szCs w:val="28"/>
          <w:highlight w:val="none"/>
          <w:lang w:val="en-US" w:eastAsia="zh-CN"/>
        </w:rPr>
        <w:t>参选</w:t>
      </w:r>
      <w:r>
        <w:rPr>
          <w:rFonts w:hint="eastAsia" w:asciiTheme="majorEastAsia" w:hAnsiTheme="majorEastAsia" w:eastAsiaTheme="majorEastAsia"/>
          <w:color w:val="auto"/>
          <w:sz w:val="28"/>
          <w:szCs w:val="28"/>
          <w:highlight w:val="none"/>
        </w:rPr>
        <w:t>文件的修改与撤回</w:t>
      </w:r>
      <w:bookmarkEnd w:id="282"/>
      <w:bookmarkEnd w:id="283"/>
      <w:bookmarkEnd w:id="284"/>
      <w:bookmarkEnd w:id="285"/>
      <w:bookmarkEnd w:id="286"/>
      <w:bookmarkEnd w:id="287"/>
      <w:bookmarkEnd w:id="288"/>
      <w:bookmarkEnd w:id="289"/>
    </w:p>
    <w:p w14:paraId="3EC0F677">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在本章第 4.2.1 项规定的投</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截止时间前，</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人可以修改或撤回已递交的</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文件。</w:t>
      </w:r>
    </w:p>
    <w:p w14:paraId="5D19C534">
      <w:pPr>
        <w:pStyle w:val="5"/>
        <w:adjustRightInd w:val="0"/>
        <w:snapToGrid w:val="0"/>
        <w:spacing w:before="0" w:after="0" w:line="360" w:lineRule="auto"/>
        <w:rPr>
          <w:rFonts w:hint="eastAsia" w:asciiTheme="majorEastAsia" w:hAnsiTheme="majorEastAsia" w:eastAsiaTheme="majorEastAsia"/>
          <w:color w:val="auto"/>
          <w:sz w:val="28"/>
          <w:szCs w:val="28"/>
          <w:highlight w:val="none"/>
          <w:lang w:val="en-US" w:eastAsia="zh-CN"/>
        </w:rPr>
      </w:pPr>
      <w:bookmarkStart w:id="290" w:name="_Toc46475146"/>
      <w:bookmarkStart w:id="291" w:name="_Toc511645097"/>
      <w:bookmarkStart w:id="292" w:name="_Toc51340243"/>
      <w:bookmarkStart w:id="293" w:name="_Toc120110811"/>
      <w:bookmarkStart w:id="294" w:name="_Toc7186401"/>
      <w:bookmarkStart w:id="295" w:name="_Toc511644483"/>
      <w:bookmarkStart w:id="296" w:name="_Toc50734476"/>
      <w:bookmarkStart w:id="297" w:name="_Toc515441299"/>
      <w:r>
        <w:rPr>
          <w:rFonts w:hint="eastAsia" w:asciiTheme="majorEastAsia" w:hAnsiTheme="majorEastAsia"/>
          <w:color w:val="auto"/>
          <w:sz w:val="28"/>
          <w:szCs w:val="28"/>
          <w:highlight w:val="none"/>
        </w:rPr>
        <w:t>5. 开</w:t>
      </w:r>
      <w:bookmarkEnd w:id="290"/>
      <w:bookmarkEnd w:id="291"/>
      <w:bookmarkEnd w:id="292"/>
      <w:bookmarkEnd w:id="293"/>
      <w:bookmarkEnd w:id="294"/>
      <w:bookmarkEnd w:id="295"/>
      <w:bookmarkEnd w:id="296"/>
      <w:bookmarkEnd w:id="297"/>
      <w:r>
        <w:rPr>
          <w:rFonts w:hint="eastAsia" w:asciiTheme="majorEastAsia" w:hAnsiTheme="majorEastAsia"/>
          <w:color w:val="auto"/>
          <w:sz w:val="28"/>
          <w:szCs w:val="28"/>
          <w:highlight w:val="none"/>
          <w:lang w:val="en-US" w:eastAsia="zh-CN"/>
        </w:rPr>
        <w:t>选</w:t>
      </w:r>
    </w:p>
    <w:p w14:paraId="60B6EDCA">
      <w:pPr>
        <w:pStyle w:val="6"/>
        <w:snapToGrid w:val="0"/>
        <w:spacing w:before="0" w:after="0" w:line="360" w:lineRule="auto"/>
        <w:rPr>
          <w:rFonts w:asciiTheme="majorEastAsia" w:hAnsiTheme="majorEastAsia" w:eastAsiaTheme="majorEastAsia"/>
          <w:color w:val="auto"/>
          <w:sz w:val="28"/>
          <w:szCs w:val="28"/>
          <w:highlight w:val="none"/>
        </w:rPr>
      </w:pPr>
      <w:bookmarkStart w:id="298" w:name="_Toc50734477"/>
      <w:bookmarkStart w:id="299" w:name="_Toc46475147"/>
      <w:bookmarkStart w:id="300" w:name="_Toc515441300"/>
      <w:bookmarkStart w:id="301" w:name="_Toc511644484"/>
      <w:bookmarkStart w:id="302" w:name="_Toc7186402"/>
      <w:bookmarkStart w:id="303" w:name="_Toc51340244"/>
      <w:bookmarkStart w:id="304" w:name="_Toc120110812"/>
      <w:bookmarkStart w:id="305" w:name="_Toc511645098"/>
      <w:r>
        <w:rPr>
          <w:rFonts w:hint="eastAsia" w:asciiTheme="majorEastAsia" w:hAnsiTheme="majorEastAsia" w:eastAsiaTheme="majorEastAsia"/>
          <w:color w:val="auto"/>
          <w:sz w:val="28"/>
          <w:szCs w:val="28"/>
          <w:highlight w:val="none"/>
        </w:rPr>
        <w:t>5.1 开</w:t>
      </w:r>
      <w:r>
        <w:rPr>
          <w:rFonts w:hint="eastAsia" w:asciiTheme="majorEastAsia" w:hAnsiTheme="majorEastAsia" w:eastAsiaTheme="majorEastAsia"/>
          <w:color w:val="auto"/>
          <w:sz w:val="28"/>
          <w:szCs w:val="28"/>
          <w:highlight w:val="none"/>
          <w:lang w:val="en-US" w:eastAsia="zh-CN"/>
        </w:rPr>
        <w:t>选</w:t>
      </w:r>
      <w:r>
        <w:rPr>
          <w:rFonts w:hint="eastAsia" w:asciiTheme="majorEastAsia" w:hAnsiTheme="majorEastAsia" w:eastAsiaTheme="majorEastAsia"/>
          <w:color w:val="auto"/>
          <w:sz w:val="28"/>
          <w:szCs w:val="28"/>
          <w:highlight w:val="none"/>
        </w:rPr>
        <w:t>时间和地点</w:t>
      </w:r>
      <w:bookmarkEnd w:id="298"/>
      <w:bookmarkEnd w:id="299"/>
      <w:bookmarkEnd w:id="300"/>
      <w:bookmarkEnd w:id="301"/>
      <w:bookmarkEnd w:id="302"/>
      <w:bookmarkEnd w:id="303"/>
      <w:bookmarkEnd w:id="304"/>
      <w:bookmarkEnd w:id="305"/>
    </w:p>
    <w:p w14:paraId="49D62263">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人在本章第4.2.1项规定的</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截止时间（开</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时间）</w:t>
      </w:r>
      <w:r>
        <w:rPr>
          <w:rFonts w:hint="eastAsia" w:asciiTheme="minorEastAsia" w:hAnsiTheme="minorEastAsia"/>
          <w:color w:val="auto"/>
          <w:szCs w:val="21"/>
          <w:highlight w:val="none"/>
          <w:lang w:eastAsia="zh-CN"/>
        </w:rPr>
        <w:t>，</w:t>
      </w:r>
      <w:r>
        <w:rPr>
          <w:rFonts w:hint="eastAsia" w:asciiTheme="minorEastAsia" w:hAnsiTheme="minorEastAsia"/>
          <w:color w:val="auto"/>
          <w:szCs w:val="21"/>
          <w:highlight w:val="none"/>
        </w:rPr>
        <w:t>公开开</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w:t>
      </w:r>
      <w:r>
        <w:rPr>
          <w:rFonts w:hint="eastAsia" w:ascii="宋体" w:hAnsi="宋体"/>
          <w:color w:val="auto"/>
          <w:szCs w:val="21"/>
          <w:highlight w:val="none"/>
        </w:rPr>
        <w:t>所有</w:t>
      </w:r>
      <w:r>
        <w:rPr>
          <w:rFonts w:hint="eastAsia" w:ascii="宋体" w:hAnsi="宋体"/>
          <w:color w:val="auto"/>
          <w:szCs w:val="21"/>
          <w:highlight w:val="none"/>
          <w:lang w:val="en-US" w:eastAsia="zh-CN"/>
        </w:rPr>
        <w:t>参选</w:t>
      </w:r>
      <w:r>
        <w:rPr>
          <w:rFonts w:hint="eastAsia" w:ascii="宋体" w:hAnsi="宋体"/>
          <w:color w:val="auto"/>
          <w:szCs w:val="21"/>
          <w:highlight w:val="none"/>
        </w:rPr>
        <w:t>人均应当准时参加开</w:t>
      </w:r>
      <w:r>
        <w:rPr>
          <w:rFonts w:hint="eastAsia" w:ascii="宋体" w:hAnsi="宋体"/>
          <w:color w:val="auto"/>
          <w:szCs w:val="21"/>
          <w:highlight w:val="none"/>
          <w:lang w:val="en-US" w:eastAsia="zh-CN"/>
        </w:rPr>
        <w:t>选</w:t>
      </w:r>
      <w:r>
        <w:rPr>
          <w:rFonts w:hint="eastAsia" w:asciiTheme="minorEastAsia" w:hAnsiTheme="minorEastAsia"/>
          <w:color w:val="auto"/>
          <w:szCs w:val="21"/>
          <w:highlight w:val="none"/>
        </w:rPr>
        <w:t>。</w:t>
      </w:r>
    </w:p>
    <w:p w14:paraId="1B86009A">
      <w:pPr>
        <w:pStyle w:val="6"/>
        <w:snapToGrid w:val="0"/>
        <w:spacing w:before="0" w:after="0" w:line="360" w:lineRule="auto"/>
        <w:rPr>
          <w:rFonts w:asciiTheme="majorEastAsia" w:hAnsiTheme="majorEastAsia" w:eastAsiaTheme="majorEastAsia"/>
          <w:color w:val="auto"/>
          <w:sz w:val="28"/>
          <w:szCs w:val="28"/>
          <w:highlight w:val="none"/>
        </w:rPr>
      </w:pPr>
      <w:bookmarkStart w:id="306" w:name="_Toc46475148"/>
      <w:bookmarkStart w:id="307" w:name="_Toc511644485"/>
      <w:bookmarkStart w:id="308" w:name="_Toc120110813"/>
      <w:bookmarkStart w:id="309" w:name="_Toc50734478"/>
      <w:bookmarkStart w:id="310" w:name="_Toc7186403"/>
      <w:bookmarkStart w:id="311" w:name="_Toc511645099"/>
      <w:bookmarkStart w:id="312" w:name="_Toc515441301"/>
      <w:bookmarkStart w:id="313" w:name="_Toc51340245"/>
      <w:r>
        <w:rPr>
          <w:rFonts w:hint="eastAsia" w:asciiTheme="majorEastAsia" w:hAnsiTheme="majorEastAsia" w:eastAsiaTheme="majorEastAsia"/>
          <w:color w:val="auto"/>
          <w:sz w:val="28"/>
          <w:szCs w:val="28"/>
          <w:highlight w:val="none"/>
        </w:rPr>
        <w:t>5.2 开</w:t>
      </w:r>
      <w:r>
        <w:rPr>
          <w:rFonts w:hint="eastAsia" w:asciiTheme="majorEastAsia" w:hAnsiTheme="majorEastAsia" w:eastAsiaTheme="majorEastAsia"/>
          <w:color w:val="auto"/>
          <w:sz w:val="28"/>
          <w:szCs w:val="28"/>
          <w:highlight w:val="none"/>
          <w:lang w:val="en-US" w:eastAsia="zh-CN"/>
        </w:rPr>
        <w:t>选</w:t>
      </w:r>
      <w:r>
        <w:rPr>
          <w:rFonts w:hint="eastAsia" w:asciiTheme="majorEastAsia" w:hAnsiTheme="majorEastAsia" w:eastAsiaTheme="majorEastAsia"/>
          <w:color w:val="auto"/>
          <w:sz w:val="28"/>
          <w:szCs w:val="28"/>
          <w:highlight w:val="none"/>
        </w:rPr>
        <w:t>程序</w:t>
      </w:r>
      <w:bookmarkEnd w:id="306"/>
      <w:bookmarkEnd w:id="307"/>
      <w:bookmarkEnd w:id="308"/>
      <w:bookmarkEnd w:id="309"/>
      <w:bookmarkEnd w:id="310"/>
      <w:bookmarkEnd w:id="311"/>
      <w:bookmarkEnd w:id="312"/>
      <w:bookmarkEnd w:id="313"/>
    </w:p>
    <w:p w14:paraId="0F8840F0">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主持人按下列程序进行开</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w:t>
      </w:r>
    </w:p>
    <w:p w14:paraId="7DB16FBD">
      <w:pPr>
        <w:numPr>
          <w:ilvl w:val="0"/>
          <w:numId w:val="2"/>
        </w:numPr>
        <w:spacing w:line="360" w:lineRule="auto"/>
        <w:ind w:left="425" w:leftChars="0" w:hanging="425" w:firstLineChars="0"/>
        <w:rPr>
          <w:rFonts w:ascii="宋体" w:hAnsi="宋体" w:cs="宋体"/>
          <w:color w:val="auto"/>
          <w:szCs w:val="21"/>
          <w:highlight w:val="none"/>
        </w:rPr>
      </w:pPr>
      <w:bookmarkStart w:id="314" w:name="_Toc511644486"/>
      <w:bookmarkStart w:id="315" w:name="_Toc51340246"/>
      <w:bookmarkStart w:id="316" w:name="_Toc7186404"/>
      <w:bookmarkStart w:id="317" w:name="_Toc50734479"/>
      <w:bookmarkStart w:id="318" w:name="_Toc515441302"/>
      <w:bookmarkStart w:id="319" w:name="_Toc511645100"/>
      <w:bookmarkStart w:id="320" w:name="_Toc46475149"/>
      <w:r>
        <w:rPr>
          <w:rFonts w:hint="eastAsia" w:ascii="宋体" w:hAnsi="宋体" w:cs="宋体"/>
          <w:color w:val="auto"/>
          <w:szCs w:val="21"/>
          <w:highlight w:val="none"/>
        </w:rPr>
        <w:t>各</w:t>
      </w:r>
      <w:r>
        <w:rPr>
          <w:rFonts w:hint="eastAsia" w:ascii="宋体" w:hAnsi="宋体" w:cs="宋体"/>
          <w:color w:val="auto"/>
          <w:szCs w:val="21"/>
          <w:highlight w:val="none"/>
          <w:lang w:val="en-US" w:eastAsia="zh-CN"/>
        </w:rPr>
        <w:t>参选</w:t>
      </w:r>
      <w:r>
        <w:rPr>
          <w:rFonts w:hint="eastAsia" w:ascii="宋体" w:hAnsi="宋体" w:cs="宋体"/>
          <w:color w:val="auto"/>
          <w:szCs w:val="21"/>
          <w:highlight w:val="none"/>
        </w:rPr>
        <w:t>人按先后顺序签到；</w:t>
      </w:r>
    </w:p>
    <w:p w14:paraId="68E84EA1">
      <w:pPr>
        <w:numPr>
          <w:ilvl w:val="0"/>
          <w:numId w:val="2"/>
        </w:numPr>
        <w:spacing w:line="360" w:lineRule="auto"/>
        <w:ind w:left="425" w:leftChars="0" w:hanging="425" w:firstLineChars="0"/>
        <w:rPr>
          <w:rFonts w:ascii="宋体" w:hAnsi="宋体" w:cs="宋体"/>
          <w:color w:val="auto"/>
          <w:szCs w:val="21"/>
          <w:highlight w:val="none"/>
        </w:rPr>
      </w:pPr>
      <w:r>
        <w:rPr>
          <w:rFonts w:hint="eastAsia" w:ascii="宋体" w:hAnsi="宋体" w:cs="宋体"/>
          <w:color w:val="auto"/>
          <w:szCs w:val="21"/>
          <w:highlight w:val="none"/>
        </w:rPr>
        <w:t>主持人宣布开选会议开始；</w:t>
      </w:r>
    </w:p>
    <w:p w14:paraId="4FDCD71A">
      <w:pPr>
        <w:numPr>
          <w:ilvl w:val="0"/>
          <w:numId w:val="2"/>
        </w:numPr>
        <w:spacing w:line="360" w:lineRule="auto"/>
        <w:ind w:left="425" w:leftChars="0" w:hanging="425" w:firstLineChars="0"/>
        <w:rPr>
          <w:rFonts w:ascii="宋体" w:hAnsi="宋体" w:cs="宋体"/>
          <w:color w:val="auto"/>
          <w:szCs w:val="21"/>
          <w:highlight w:val="none"/>
        </w:rPr>
      </w:pPr>
      <w:r>
        <w:rPr>
          <w:rFonts w:hint="eastAsia" w:ascii="宋体" w:hAnsi="宋体" w:cs="宋体"/>
          <w:color w:val="auto"/>
          <w:szCs w:val="21"/>
          <w:highlight w:val="none"/>
        </w:rPr>
        <w:t>主持人介绍参加会议的有关部门和代表；</w:t>
      </w:r>
    </w:p>
    <w:p w14:paraId="79182F46">
      <w:pPr>
        <w:numPr>
          <w:ilvl w:val="0"/>
          <w:numId w:val="2"/>
        </w:numPr>
        <w:spacing w:line="360" w:lineRule="auto"/>
        <w:ind w:left="425" w:leftChars="0" w:hanging="425" w:firstLineChars="0"/>
        <w:rPr>
          <w:rFonts w:ascii="宋体" w:hAnsi="宋体" w:cs="宋体"/>
          <w:color w:val="auto"/>
          <w:szCs w:val="21"/>
          <w:highlight w:val="none"/>
        </w:rPr>
      </w:pPr>
      <w:r>
        <w:rPr>
          <w:rFonts w:hint="eastAsia" w:ascii="宋体" w:hAnsi="宋体" w:cs="宋体"/>
          <w:color w:val="auto"/>
          <w:szCs w:val="21"/>
          <w:highlight w:val="none"/>
        </w:rPr>
        <w:t>主持人宣布开选期间的纪律及有关事项要求；</w:t>
      </w:r>
    </w:p>
    <w:p w14:paraId="68E905DC">
      <w:pPr>
        <w:numPr>
          <w:ilvl w:val="0"/>
          <w:numId w:val="2"/>
        </w:numPr>
        <w:spacing w:line="360" w:lineRule="auto"/>
        <w:ind w:left="425" w:leftChars="0" w:hanging="425" w:firstLineChars="0"/>
        <w:rPr>
          <w:rFonts w:ascii="宋体" w:hAnsi="宋体" w:cs="宋体"/>
          <w:color w:val="auto"/>
          <w:szCs w:val="21"/>
          <w:highlight w:val="none"/>
        </w:rPr>
      </w:pPr>
      <w:r>
        <w:rPr>
          <w:rFonts w:hint="eastAsia" w:ascii="宋体" w:hAnsi="宋体" w:cs="宋体"/>
          <w:color w:val="auto"/>
          <w:szCs w:val="21"/>
          <w:highlight w:val="none"/>
        </w:rPr>
        <w:t>由评审小组查验各</w:t>
      </w:r>
      <w:r>
        <w:rPr>
          <w:rFonts w:hint="eastAsia" w:ascii="宋体" w:hAnsi="宋体" w:cs="宋体"/>
          <w:color w:val="auto"/>
          <w:szCs w:val="21"/>
          <w:highlight w:val="none"/>
          <w:lang w:val="en-US" w:eastAsia="zh-CN"/>
        </w:rPr>
        <w:t>参选</w:t>
      </w:r>
      <w:r>
        <w:rPr>
          <w:rFonts w:hint="eastAsia" w:ascii="宋体" w:hAnsi="宋体" w:cs="宋体"/>
          <w:color w:val="auto"/>
          <w:szCs w:val="21"/>
          <w:highlight w:val="none"/>
        </w:rPr>
        <w:t>人应到会代表身份是否符合规定；</w:t>
      </w:r>
    </w:p>
    <w:p w14:paraId="0D0D4929">
      <w:pPr>
        <w:numPr>
          <w:ilvl w:val="0"/>
          <w:numId w:val="2"/>
        </w:numPr>
        <w:spacing w:line="360" w:lineRule="auto"/>
        <w:ind w:left="425" w:leftChars="0" w:hanging="425" w:firstLineChars="0"/>
        <w:rPr>
          <w:rFonts w:ascii="宋体" w:hAnsi="宋体" w:cs="宋体"/>
          <w:color w:val="auto"/>
          <w:szCs w:val="21"/>
          <w:highlight w:val="none"/>
        </w:rPr>
      </w:pPr>
      <w:r>
        <w:rPr>
          <w:rFonts w:hint="eastAsia" w:ascii="宋体" w:hAnsi="宋体" w:cs="宋体"/>
          <w:color w:val="auto"/>
          <w:szCs w:val="21"/>
          <w:highlight w:val="none"/>
        </w:rPr>
        <w:t>由评审小组检查</w:t>
      </w:r>
      <w:r>
        <w:rPr>
          <w:rFonts w:hint="eastAsia" w:ascii="宋体" w:hAnsi="宋体" w:cs="宋体"/>
          <w:color w:val="auto"/>
          <w:szCs w:val="21"/>
          <w:highlight w:val="none"/>
          <w:lang w:val="en-US" w:eastAsia="zh-CN"/>
        </w:rPr>
        <w:t>参选</w:t>
      </w:r>
      <w:r>
        <w:rPr>
          <w:rFonts w:hint="eastAsia" w:ascii="宋体" w:hAnsi="宋体" w:cs="宋体"/>
          <w:color w:val="auto"/>
          <w:szCs w:val="21"/>
          <w:highlight w:val="none"/>
        </w:rPr>
        <w:t>文件的密封情况；</w:t>
      </w:r>
    </w:p>
    <w:p w14:paraId="0665D2D0">
      <w:pPr>
        <w:pStyle w:val="11"/>
        <w:numPr>
          <w:ilvl w:val="0"/>
          <w:numId w:val="2"/>
        </w:numPr>
        <w:spacing w:line="360" w:lineRule="auto"/>
        <w:ind w:left="425" w:leftChars="0" w:hanging="425" w:firstLineChars="0"/>
        <w:rPr>
          <w:rFonts w:ascii="宋体" w:hAnsi="宋体" w:cs="宋体"/>
          <w:color w:val="auto"/>
          <w:szCs w:val="21"/>
          <w:highlight w:val="none"/>
        </w:rPr>
      </w:pPr>
      <w:r>
        <w:rPr>
          <w:rFonts w:hint="eastAsia" w:ascii="宋体" w:hAnsi="宋体" w:cs="宋体"/>
          <w:color w:val="auto"/>
          <w:szCs w:val="21"/>
          <w:highlight w:val="none"/>
        </w:rPr>
        <w:t>主持人宣布</w:t>
      </w:r>
      <w:r>
        <w:rPr>
          <w:rFonts w:hint="eastAsia" w:ascii="宋体" w:hAnsi="宋体" w:cs="宋体"/>
          <w:color w:val="auto"/>
          <w:szCs w:val="21"/>
          <w:highlight w:val="none"/>
          <w:lang w:val="en-US" w:eastAsia="zh-CN"/>
        </w:rPr>
        <w:t>参选</w:t>
      </w:r>
      <w:r>
        <w:rPr>
          <w:rFonts w:hint="eastAsia" w:ascii="宋体" w:hAnsi="宋体" w:cs="宋体"/>
          <w:color w:val="auto"/>
          <w:szCs w:val="21"/>
          <w:highlight w:val="none"/>
        </w:rPr>
        <w:t>文件递交截止时间前收到的</w:t>
      </w:r>
      <w:r>
        <w:rPr>
          <w:rFonts w:hint="eastAsia" w:ascii="宋体" w:hAnsi="宋体" w:cs="宋体"/>
          <w:color w:val="auto"/>
          <w:szCs w:val="21"/>
          <w:highlight w:val="none"/>
          <w:lang w:val="en-US" w:eastAsia="zh-CN"/>
        </w:rPr>
        <w:t>参选</w:t>
      </w:r>
      <w:r>
        <w:rPr>
          <w:rFonts w:hint="eastAsia" w:ascii="宋体" w:hAnsi="宋体" w:cs="宋体"/>
          <w:color w:val="auto"/>
          <w:szCs w:val="21"/>
          <w:highlight w:val="none"/>
        </w:rPr>
        <w:t>文件数和上述查验结果；</w:t>
      </w:r>
    </w:p>
    <w:p w14:paraId="5473380A">
      <w:pPr>
        <w:numPr>
          <w:ilvl w:val="0"/>
          <w:numId w:val="2"/>
        </w:numPr>
        <w:spacing w:line="360" w:lineRule="auto"/>
        <w:ind w:left="425" w:leftChars="0" w:hanging="425" w:firstLineChars="0"/>
        <w:rPr>
          <w:rFonts w:ascii="宋体" w:hAnsi="宋体" w:cs="宋体"/>
          <w:color w:val="auto"/>
          <w:szCs w:val="21"/>
          <w:highlight w:val="none"/>
        </w:rPr>
      </w:pPr>
      <w:r>
        <w:rPr>
          <w:rFonts w:hint="eastAsia" w:ascii="宋体" w:hAnsi="宋体" w:cs="宋体"/>
          <w:color w:val="auto"/>
          <w:szCs w:val="21"/>
          <w:highlight w:val="none"/>
        </w:rPr>
        <w:t>由评审小组按标段顺序现场拆开宣布各家上报价格，由各</w:t>
      </w:r>
      <w:r>
        <w:rPr>
          <w:rFonts w:hint="eastAsia" w:ascii="宋体" w:hAnsi="宋体" w:cs="宋体"/>
          <w:color w:val="auto"/>
          <w:szCs w:val="21"/>
          <w:highlight w:val="none"/>
          <w:lang w:val="en-US" w:eastAsia="zh-CN"/>
        </w:rPr>
        <w:t>参选</w:t>
      </w:r>
      <w:r>
        <w:rPr>
          <w:rFonts w:hint="eastAsia" w:ascii="宋体" w:hAnsi="宋体" w:cs="宋体"/>
          <w:color w:val="auto"/>
          <w:szCs w:val="21"/>
          <w:highlight w:val="none"/>
        </w:rPr>
        <w:t>人签字确认；</w:t>
      </w:r>
    </w:p>
    <w:p w14:paraId="67A744A5">
      <w:pPr>
        <w:numPr>
          <w:ilvl w:val="0"/>
          <w:numId w:val="2"/>
        </w:numPr>
        <w:spacing w:line="360" w:lineRule="auto"/>
        <w:ind w:left="425" w:leftChars="0" w:hanging="425" w:firstLineChars="0"/>
        <w:rPr>
          <w:rFonts w:ascii="宋体" w:hAnsi="宋体" w:cs="宋体"/>
          <w:color w:val="auto"/>
          <w:szCs w:val="21"/>
          <w:highlight w:val="none"/>
        </w:rPr>
      </w:pPr>
      <w:r>
        <w:rPr>
          <w:rFonts w:hint="eastAsia" w:ascii="宋体" w:hAnsi="宋体" w:cs="宋体"/>
          <w:color w:val="auto"/>
          <w:szCs w:val="21"/>
          <w:highlight w:val="none"/>
          <w:lang w:val="en-US" w:eastAsia="zh-CN"/>
        </w:rPr>
        <w:t>由评审工作小组评审各参选人的参选文件</w:t>
      </w:r>
      <w:r>
        <w:rPr>
          <w:rFonts w:hint="eastAsia" w:ascii="宋体" w:hAnsi="宋体" w:cs="宋体"/>
          <w:color w:val="auto"/>
          <w:szCs w:val="21"/>
          <w:highlight w:val="none"/>
        </w:rPr>
        <w:t>；</w:t>
      </w:r>
    </w:p>
    <w:p w14:paraId="0A1F8841">
      <w:pPr>
        <w:numPr>
          <w:ilvl w:val="0"/>
          <w:numId w:val="2"/>
        </w:numPr>
        <w:spacing w:line="360" w:lineRule="auto"/>
        <w:ind w:left="425" w:leftChars="0" w:hanging="425"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由评审工作小组组长按标段顺序随机抽取K值，并由各参选人对所抽K值签字确认；（若有）</w:t>
      </w:r>
    </w:p>
    <w:p w14:paraId="0FEBC234">
      <w:pPr>
        <w:numPr>
          <w:ilvl w:val="0"/>
          <w:numId w:val="2"/>
        </w:numPr>
        <w:spacing w:line="360" w:lineRule="auto"/>
        <w:ind w:left="425" w:leftChars="0" w:hanging="425" w:firstLineChars="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由评审工作小组计算推荐中选候选人；</w:t>
      </w:r>
    </w:p>
    <w:p w14:paraId="51CE212F">
      <w:pPr>
        <w:numPr>
          <w:ilvl w:val="0"/>
          <w:numId w:val="2"/>
        </w:numPr>
        <w:spacing w:line="360" w:lineRule="auto"/>
        <w:ind w:left="425" w:leftChars="0" w:hanging="425" w:firstLineChars="0"/>
        <w:rPr>
          <w:rFonts w:ascii="宋体" w:hAnsi="宋体" w:cs="宋体"/>
          <w:color w:val="auto"/>
          <w:szCs w:val="21"/>
          <w:highlight w:val="none"/>
        </w:rPr>
      </w:pPr>
      <w:r>
        <w:rPr>
          <w:rFonts w:hint="eastAsia" w:ascii="宋体" w:hAnsi="宋体" w:cs="宋体"/>
          <w:color w:val="auto"/>
          <w:szCs w:val="21"/>
          <w:highlight w:val="none"/>
        </w:rPr>
        <w:t>主持人宣布开选会议结束。</w:t>
      </w:r>
    </w:p>
    <w:p w14:paraId="29B90A99">
      <w:pPr>
        <w:pStyle w:val="6"/>
        <w:snapToGrid w:val="0"/>
        <w:spacing w:before="0" w:after="0" w:line="360" w:lineRule="auto"/>
        <w:rPr>
          <w:rFonts w:asciiTheme="majorEastAsia" w:hAnsiTheme="majorEastAsia" w:eastAsiaTheme="majorEastAsia"/>
          <w:color w:val="auto"/>
          <w:sz w:val="28"/>
          <w:szCs w:val="28"/>
          <w:highlight w:val="none"/>
        </w:rPr>
      </w:pPr>
      <w:bookmarkStart w:id="321" w:name="_Toc120110814"/>
      <w:r>
        <w:rPr>
          <w:rFonts w:hint="eastAsia" w:asciiTheme="majorEastAsia" w:hAnsiTheme="majorEastAsia" w:eastAsiaTheme="majorEastAsia"/>
          <w:color w:val="auto"/>
          <w:sz w:val="28"/>
          <w:szCs w:val="28"/>
          <w:highlight w:val="none"/>
        </w:rPr>
        <w:t>5.3 开</w:t>
      </w:r>
      <w:r>
        <w:rPr>
          <w:rFonts w:hint="eastAsia" w:asciiTheme="majorEastAsia" w:hAnsiTheme="majorEastAsia" w:eastAsiaTheme="majorEastAsia"/>
          <w:color w:val="auto"/>
          <w:sz w:val="28"/>
          <w:szCs w:val="28"/>
          <w:highlight w:val="none"/>
          <w:lang w:val="en-US" w:eastAsia="zh-CN"/>
        </w:rPr>
        <w:t>选</w:t>
      </w:r>
      <w:r>
        <w:rPr>
          <w:rFonts w:hint="eastAsia" w:asciiTheme="majorEastAsia" w:hAnsiTheme="majorEastAsia" w:eastAsiaTheme="majorEastAsia"/>
          <w:color w:val="auto"/>
          <w:sz w:val="28"/>
          <w:szCs w:val="28"/>
          <w:highlight w:val="none"/>
        </w:rPr>
        <w:t>异议</w:t>
      </w:r>
      <w:bookmarkEnd w:id="314"/>
      <w:bookmarkEnd w:id="315"/>
      <w:bookmarkEnd w:id="316"/>
      <w:bookmarkEnd w:id="317"/>
      <w:bookmarkEnd w:id="318"/>
      <w:bookmarkEnd w:id="319"/>
      <w:bookmarkEnd w:id="320"/>
      <w:bookmarkEnd w:id="321"/>
    </w:p>
    <w:p w14:paraId="0607EBF8">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人对开</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有异议的，</w:t>
      </w:r>
      <w:r>
        <w:rPr>
          <w:rFonts w:hint="eastAsia" w:ascii="宋体" w:hAnsi="宋体"/>
          <w:color w:val="auto"/>
          <w:szCs w:val="21"/>
          <w:highlight w:val="none"/>
        </w:rPr>
        <w:t>应当场提出；</w:t>
      </w:r>
      <w:r>
        <w:rPr>
          <w:rFonts w:hint="eastAsia" w:ascii="宋体" w:hAnsi="宋体"/>
          <w:color w:val="auto"/>
          <w:szCs w:val="21"/>
          <w:highlight w:val="none"/>
          <w:lang w:val="en-US" w:eastAsia="zh-CN"/>
        </w:rPr>
        <w:t>招选</w:t>
      </w:r>
      <w:r>
        <w:rPr>
          <w:rFonts w:hint="eastAsia" w:ascii="宋体" w:hAnsi="宋体"/>
          <w:color w:val="auto"/>
          <w:szCs w:val="21"/>
          <w:highlight w:val="none"/>
        </w:rPr>
        <w:t>人应当场作出答复，记录并保存异议的提出和答复情况</w:t>
      </w:r>
      <w:r>
        <w:rPr>
          <w:rFonts w:hint="eastAsia" w:asciiTheme="minorEastAsia" w:hAnsiTheme="minorEastAsia"/>
          <w:color w:val="auto"/>
          <w:szCs w:val="21"/>
          <w:highlight w:val="none"/>
        </w:rPr>
        <w:t>。</w:t>
      </w:r>
    </w:p>
    <w:p w14:paraId="1CD807A3">
      <w:pPr>
        <w:pStyle w:val="5"/>
        <w:adjustRightInd w:val="0"/>
        <w:snapToGrid w:val="0"/>
        <w:spacing w:before="0" w:after="0" w:line="360" w:lineRule="auto"/>
        <w:rPr>
          <w:rFonts w:hint="eastAsia" w:asciiTheme="majorEastAsia" w:hAnsiTheme="majorEastAsia" w:eastAsiaTheme="majorEastAsia"/>
          <w:color w:val="auto"/>
          <w:sz w:val="28"/>
          <w:szCs w:val="28"/>
          <w:highlight w:val="none"/>
          <w:lang w:val="en-US" w:eastAsia="zh-CN"/>
        </w:rPr>
      </w:pPr>
      <w:bookmarkStart w:id="322" w:name="_Toc51340247"/>
      <w:bookmarkStart w:id="323" w:name="_Toc50734480"/>
      <w:bookmarkStart w:id="324" w:name="_Toc515441303"/>
      <w:bookmarkStart w:id="325" w:name="_Toc511644487"/>
      <w:bookmarkStart w:id="326" w:name="_Toc511645101"/>
      <w:bookmarkStart w:id="327" w:name="_Toc120110815"/>
      <w:bookmarkStart w:id="328" w:name="_Toc46475150"/>
      <w:bookmarkStart w:id="329" w:name="_Toc7186405"/>
      <w:r>
        <w:rPr>
          <w:rFonts w:hint="eastAsia" w:asciiTheme="majorEastAsia" w:hAnsiTheme="majorEastAsia"/>
          <w:color w:val="auto"/>
          <w:sz w:val="28"/>
          <w:szCs w:val="28"/>
          <w:highlight w:val="none"/>
        </w:rPr>
        <w:t>6. 评</w:t>
      </w:r>
      <w:bookmarkEnd w:id="322"/>
      <w:bookmarkEnd w:id="323"/>
      <w:bookmarkEnd w:id="324"/>
      <w:bookmarkEnd w:id="325"/>
      <w:bookmarkEnd w:id="326"/>
      <w:bookmarkEnd w:id="327"/>
      <w:bookmarkEnd w:id="328"/>
      <w:bookmarkEnd w:id="329"/>
      <w:r>
        <w:rPr>
          <w:rFonts w:hint="eastAsia" w:asciiTheme="majorEastAsia" w:hAnsiTheme="majorEastAsia"/>
          <w:color w:val="auto"/>
          <w:sz w:val="28"/>
          <w:szCs w:val="28"/>
          <w:highlight w:val="none"/>
          <w:lang w:val="en-US" w:eastAsia="zh-CN"/>
        </w:rPr>
        <w:t>选</w:t>
      </w:r>
    </w:p>
    <w:p w14:paraId="62B0D9EE">
      <w:pPr>
        <w:pStyle w:val="6"/>
        <w:snapToGrid w:val="0"/>
        <w:spacing w:before="0" w:after="0" w:line="360" w:lineRule="auto"/>
        <w:rPr>
          <w:rFonts w:asciiTheme="majorEastAsia" w:hAnsiTheme="majorEastAsia" w:eastAsiaTheme="majorEastAsia"/>
          <w:color w:val="auto"/>
          <w:sz w:val="28"/>
          <w:szCs w:val="28"/>
          <w:highlight w:val="none"/>
        </w:rPr>
      </w:pPr>
      <w:bookmarkStart w:id="330" w:name="_Toc7186406"/>
      <w:bookmarkStart w:id="331" w:name="_Toc50734481"/>
      <w:bookmarkStart w:id="332" w:name="_Toc511645102"/>
      <w:bookmarkStart w:id="333" w:name="_Toc51340248"/>
      <w:bookmarkStart w:id="334" w:name="_Toc511644488"/>
      <w:bookmarkStart w:id="335" w:name="_Toc46475151"/>
      <w:bookmarkStart w:id="336" w:name="_Toc515441304"/>
      <w:bookmarkStart w:id="337" w:name="_Toc120110816"/>
      <w:r>
        <w:rPr>
          <w:rFonts w:hint="eastAsia" w:asciiTheme="majorEastAsia" w:hAnsiTheme="majorEastAsia" w:eastAsiaTheme="majorEastAsia"/>
          <w:color w:val="auto"/>
          <w:sz w:val="28"/>
          <w:szCs w:val="28"/>
          <w:highlight w:val="none"/>
        </w:rPr>
        <w:t>6.1 评</w:t>
      </w:r>
      <w:bookmarkEnd w:id="330"/>
      <w:bookmarkEnd w:id="331"/>
      <w:bookmarkEnd w:id="332"/>
      <w:bookmarkEnd w:id="333"/>
      <w:bookmarkEnd w:id="334"/>
      <w:bookmarkEnd w:id="335"/>
      <w:bookmarkEnd w:id="336"/>
      <w:r>
        <w:rPr>
          <w:rFonts w:hint="eastAsia" w:asciiTheme="majorEastAsia" w:hAnsiTheme="majorEastAsia" w:eastAsiaTheme="majorEastAsia"/>
          <w:color w:val="auto"/>
          <w:sz w:val="28"/>
          <w:szCs w:val="28"/>
          <w:highlight w:val="none"/>
        </w:rPr>
        <w:t>审小组</w:t>
      </w:r>
      <w:bookmarkEnd w:id="337"/>
    </w:p>
    <w:p w14:paraId="4EA78AFD">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6.1.1 评标由招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人自行组织评审小组成员。</w:t>
      </w:r>
    </w:p>
    <w:p w14:paraId="17A35EB3">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6.1.2 评审小组成员有下列情形之一的，应当回避：</w:t>
      </w:r>
    </w:p>
    <w:p w14:paraId="4C688A70">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（1）</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人或</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人主要负责人的近亲属；</w:t>
      </w:r>
    </w:p>
    <w:p w14:paraId="2AD39AAF">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w:t>
      </w:r>
      <w:r>
        <w:rPr>
          <w:rFonts w:asciiTheme="minorEastAsia" w:hAnsiTheme="minorEastAsia"/>
          <w:color w:val="auto"/>
          <w:szCs w:val="21"/>
          <w:highlight w:val="none"/>
        </w:rPr>
        <w:t>2</w:t>
      </w:r>
      <w:r>
        <w:rPr>
          <w:rFonts w:hint="eastAsia" w:asciiTheme="minorEastAsia" w:hAnsiTheme="minorEastAsia"/>
          <w:color w:val="auto"/>
          <w:szCs w:val="21"/>
          <w:highlight w:val="none"/>
        </w:rPr>
        <w:t>）与</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人有经济利益关系，可能影响公正评审的；</w:t>
      </w:r>
    </w:p>
    <w:p w14:paraId="225F7217">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w:t>
      </w:r>
      <w:r>
        <w:rPr>
          <w:rFonts w:asciiTheme="minorEastAsia" w:hAnsiTheme="minorEastAsia"/>
          <w:color w:val="auto"/>
          <w:szCs w:val="21"/>
          <w:highlight w:val="none"/>
        </w:rPr>
        <w:t>3</w:t>
      </w:r>
      <w:r>
        <w:rPr>
          <w:rFonts w:hint="eastAsia" w:asciiTheme="minorEastAsia" w:hAnsiTheme="minorEastAsia"/>
          <w:color w:val="auto"/>
          <w:szCs w:val="21"/>
          <w:highlight w:val="none"/>
        </w:rPr>
        <w:t>）曾因在招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、评</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以及其他与</w:t>
      </w:r>
      <w:r>
        <w:rPr>
          <w:rFonts w:hint="eastAsia" w:asciiTheme="minorEastAsia" w:hAnsiTheme="minorEastAsia"/>
          <w:color w:val="auto"/>
          <w:szCs w:val="21"/>
          <w:highlight w:val="none"/>
          <w:lang w:val="en-US" w:eastAsia="zh-CN"/>
        </w:rPr>
        <w:t>招选</w:t>
      </w:r>
      <w:r>
        <w:rPr>
          <w:rFonts w:hint="eastAsia" w:asciiTheme="minorEastAsia" w:hAnsiTheme="minorEastAsia"/>
          <w:color w:val="auto"/>
          <w:szCs w:val="21"/>
          <w:highlight w:val="none"/>
        </w:rPr>
        <w:t>有关活动中从事违法行为而受过行政处罚或刑事处罚的；</w:t>
      </w:r>
    </w:p>
    <w:p w14:paraId="60DA01CC">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w:t>
      </w:r>
      <w:r>
        <w:rPr>
          <w:rFonts w:asciiTheme="minorEastAsia" w:hAnsiTheme="minorEastAsia"/>
          <w:color w:val="auto"/>
          <w:szCs w:val="21"/>
          <w:highlight w:val="none"/>
        </w:rPr>
        <w:t>4</w:t>
      </w:r>
      <w:r>
        <w:rPr>
          <w:rFonts w:hint="eastAsia" w:asciiTheme="minorEastAsia" w:hAnsiTheme="minorEastAsia"/>
          <w:color w:val="auto"/>
          <w:szCs w:val="21"/>
          <w:highlight w:val="none"/>
        </w:rPr>
        <w:t>）与</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人有其他利害关系。</w:t>
      </w:r>
    </w:p>
    <w:p w14:paraId="1FDB66AE">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6.1.3 评</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过程中，评审小组成员有回避事由、擅离职守或者因健康等原因不能继续评标的，招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人有权更换。被更换的评审小组成员作出的评审结论无效，由更换后的评审小组成员重新进行评审。</w:t>
      </w:r>
    </w:p>
    <w:p w14:paraId="1679BEAA">
      <w:pPr>
        <w:pStyle w:val="6"/>
        <w:snapToGrid w:val="0"/>
        <w:spacing w:before="0" w:after="0" w:line="360" w:lineRule="auto"/>
        <w:rPr>
          <w:rFonts w:asciiTheme="majorEastAsia" w:hAnsiTheme="majorEastAsia" w:eastAsiaTheme="majorEastAsia"/>
          <w:color w:val="auto"/>
          <w:sz w:val="28"/>
          <w:szCs w:val="28"/>
          <w:highlight w:val="none"/>
        </w:rPr>
      </w:pPr>
      <w:bookmarkStart w:id="338" w:name="_Toc511644489"/>
      <w:bookmarkStart w:id="339" w:name="_Toc7186407"/>
      <w:bookmarkStart w:id="340" w:name="_Toc50734482"/>
      <w:bookmarkStart w:id="341" w:name="_Toc120110817"/>
      <w:bookmarkStart w:id="342" w:name="_Toc515441305"/>
      <w:bookmarkStart w:id="343" w:name="_Toc51340249"/>
      <w:bookmarkStart w:id="344" w:name="_Toc511645103"/>
      <w:bookmarkStart w:id="345" w:name="_Toc46475152"/>
      <w:r>
        <w:rPr>
          <w:rFonts w:hint="eastAsia" w:asciiTheme="majorEastAsia" w:hAnsiTheme="majorEastAsia" w:eastAsiaTheme="majorEastAsia"/>
          <w:color w:val="auto"/>
          <w:sz w:val="28"/>
          <w:szCs w:val="28"/>
          <w:highlight w:val="none"/>
        </w:rPr>
        <w:t>6.2 评</w:t>
      </w:r>
      <w:r>
        <w:rPr>
          <w:rFonts w:hint="eastAsia" w:asciiTheme="majorEastAsia" w:hAnsiTheme="majorEastAsia" w:eastAsiaTheme="majorEastAsia"/>
          <w:color w:val="auto"/>
          <w:sz w:val="28"/>
          <w:szCs w:val="28"/>
          <w:highlight w:val="none"/>
          <w:lang w:val="en-US" w:eastAsia="zh-CN"/>
        </w:rPr>
        <w:t>选</w:t>
      </w:r>
      <w:r>
        <w:rPr>
          <w:rFonts w:hint="eastAsia" w:asciiTheme="majorEastAsia" w:hAnsiTheme="majorEastAsia" w:eastAsiaTheme="majorEastAsia"/>
          <w:color w:val="auto"/>
          <w:sz w:val="28"/>
          <w:szCs w:val="28"/>
          <w:highlight w:val="none"/>
        </w:rPr>
        <w:t>原则</w:t>
      </w:r>
      <w:bookmarkEnd w:id="338"/>
      <w:bookmarkEnd w:id="339"/>
      <w:bookmarkEnd w:id="340"/>
      <w:bookmarkEnd w:id="341"/>
      <w:bookmarkEnd w:id="342"/>
      <w:bookmarkEnd w:id="343"/>
      <w:bookmarkEnd w:id="344"/>
      <w:bookmarkEnd w:id="345"/>
    </w:p>
    <w:p w14:paraId="5884E74C">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评</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活动遵循公平、公正、科学和择优的原则。</w:t>
      </w:r>
    </w:p>
    <w:p w14:paraId="4273D16A">
      <w:pPr>
        <w:pStyle w:val="5"/>
        <w:adjustRightInd w:val="0"/>
        <w:snapToGrid w:val="0"/>
        <w:spacing w:before="0" w:after="0" w:line="360" w:lineRule="auto"/>
        <w:rPr>
          <w:rFonts w:asciiTheme="majorEastAsia" w:hAnsiTheme="majorEastAsia"/>
          <w:color w:val="auto"/>
          <w:sz w:val="28"/>
          <w:szCs w:val="28"/>
          <w:highlight w:val="none"/>
        </w:rPr>
      </w:pPr>
      <w:bookmarkStart w:id="346" w:name="_Toc511644491"/>
      <w:bookmarkStart w:id="347" w:name="_Toc46475154"/>
      <w:bookmarkStart w:id="348" w:name="_Toc7186409"/>
      <w:bookmarkStart w:id="349" w:name="_Toc50734484"/>
      <w:bookmarkStart w:id="350" w:name="_Toc120110818"/>
      <w:bookmarkStart w:id="351" w:name="_Toc511645105"/>
      <w:bookmarkStart w:id="352" w:name="_Toc51340251"/>
      <w:bookmarkStart w:id="353" w:name="_Toc515441307"/>
      <w:r>
        <w:rPr>
          <w:rFonts w:hint="eastAsia" w:asciiTheme="majorEastAsia" w:hAnsiTheme="majorEastAsia"/>
          <w:color w:val="auto"/>
          <w:sz w:val="28"/>
          <w:szCs w:val="28"/>
          <w:highlight w:val="none"/>
        </w:rPr>
        <w:t>7. 合同授予</w:t>
      </w:r>
      <w:bookmarkEnd w:id="346"/>
      <w:bookmarkEnd w:id="347"/>
      <w:bookmarkEnd w:id="348"/>
      <w:bookmarkEnd w:id="349"/>
      <w:bookmarkEnd w:id="350"/>
      <w:bookmarkEnd w:id="351"/>
      <w:bookmarkEnd w:id="352"/>
      <w:bookmarkEnd w:id="353"/>
    </w:p>
    <w:p w14:paraId="15691DF9">
      <w:pPr>
        <w:pStyle w:val="6"/>
        <w:snapToGrid w:val="0"/>
        <w:spacing w:before="0" w:after="0" w:line="360" w:lineRule="auto"/>
        <w:rPr>
          <w:rFonts w:asciiTheme="majorEastAsia" w:hAnsiTheme="majorEastAsia" w:eastAsiaTheme="majorEastAsia"/>
          <w:color w:val="auto"/>
          <w:sz w:val="28"/>
          <w:szCs w:val="28"/>
          <w:highlight w:val="none"/>
        </w:rPr>
      </w:pPr>
      <w:bookmarkStart w:id="354" w:name="_Toc511644492"/>
      <w:bookmarkStart w:id="355" w:name="_Toc51340252"/>
      <w:bookmarkStart w:id="356" w:name="_Toc46475155"/>
      <w:bookmarkStart w:id="357" w:name="_Toc50734485"/>
      <w:bookmarkStart w:id="358" w:name="_Toc511645106"/>
      <w:bookmarkStart w:id="359" w:name="_Toc7186410"/>
      <w:bookmarkStart w:id="360" w:name="_Toc515441308"/>
      <w:bookmarkStart w:id="361" w:name="_Toc120110819"/>
      <w:r>
        <w:rPr>
          <w:rFonts w:hint="eastAsia" w:asciiTheme="majorEastAsia" w:hAnsiTheme="majorEastAsia" w:eastAsiaTheme="majorEastAsia"/>
          <w:color w:val="auto"/>
          <w:sz w:val="28"/>
          <w:szCs w:val="28"/>
          <w:highlight w:val="none"/>
        </w:rPr>
        <w:t>7.1 中</w:t>
      </w:r>
      <w:r>
        <w:rPr>
          <w:rFonts w:hint="eastAsia" w:asciiTheme="majorEastAsia" w:hAnsiTheme="majorEastAsia" w:eastAsiaTheme="majorEastAsia"/>
          <w:color w:val="auto"/>
          <w:sz w:val="28"/>
          <w:szCs w:val="28"/>
          <w:highlight w:val="none"/>
          <w:lang w:eastAsia="zh-CN"/>
        </w:rPr>
        <w:t>选</w:t>
      </w:r>
      <w:r>
        <w:rPr>
          <w:rFonts w:hint="eastAsia" w:asciiTheme="majorEastAsia" w:hAnsiTheme="majorEastAsia" w:eastAsiaTheme="majorEastAsia"/>
          <w:color w:val="auto"/>
          <w:sz w:val="28"/>
          <w:szCs w:val="28"/>
          <w:highlight w:val="none"/>
        </w:rPr>
        <w:t>候选人公示</w:t>
      </w:r>
      <w:bookmarkEnd w:id="354"/>
      <w:bookmarkEnd w:id="355"/>
      <w:bookmarkEnd w:id="356"/>
      <w:bookmarkEnd w:id="357"/>
      <w:bookmarkEnd w:id="358"/>
      <w:bookmarkEnd w:id="359"/>
      <w:bookmarkEnd w:id="360"/>
      <w:bookmarkEnd w:id="361"/>
    </w:p>
    <w:p w14:paraId="605281A7">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人在收到评</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报告之日起3日内，按照</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人须知前附表规定的公示媒介和期限公示中</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候选人，公示期不得少于3天。</w:t>
      </w:r>
    </w:p>
    <w:p w14:paraId="1300CA39">
      <w:pPr>
        <w:pStyle w:val="6"/>
        <w:snapToGrid w:val="0"/>
        <w:spacing w:before="0" w:after="0" w:line="360" w:lineRule="auto"/>
        <w:rPr>
          <w:rFonts w:asciiTheme="majorEastAsia" w:hAnsiTheme="majorEastAsia" w:eastAsiaTheme="majorEastAsia"/>
          <w:color w:val="auto"/>
          <w:sz w:val="28"/>
          <w:szCs w:val="28"/>
          <w:highlight w:val="none"/>
        </w:rPr>
      </w:pPr>
      <w:bookmarkStart w:id="362" w:name="_Toc46475156"/>
      <w:bookmarkStart w:id="363" w:name="_Toc50734486"/>
      <w:bookmarkStart w:id="364" w:name="_Toc511644493"/>
      <w:bookmarkStart w:id="365" w:name="_Toc515441309"/>
      <w:bookmarkStart w:id="366" w:name="_Toc511645107"/>
      <w:bookmarkStart w:id="367" w:name="_Toc51340253"/>
      <w:bookmarkStart w:id="368" w:name="_Toc120110820"/>
      <w:bookmarkStart w:id="369" w:name="_Toc7186411"/>
      <w:r>
        <w:rPr>
          <w:rFonts w:hint="eastAsia" w:asciiTheme="majorEastAsia" w:hAnsiTheme="majorEastAsia" w:eastAsiaTheme="majorEastAsia"/>
          <w:color w:val="auto"/>
          <w:sz w:val="28"/>
          <w:szCs w:val="28"/>
          <w:highlight w:val="none"/>
        </w:rPr>
        <w:t>7.2 评</w:t>
      </w:r>
      <w:r>
        <w:rPr>
          <w:rFonts w:hint="eastAsia" w:asciiTheme="majorEastAsia" w:hAnsiTheme="majorEastAsia" w:eastAsiaTheme="majorEastAsia"/>
          <w:color w:val="auto"/>
          <w:sz w:val="28"/>
          <w:szCs w:val="28"/>
          <w:highlight w:val="none"/>
          <w:lang w:eastAsia="zh-CN"/>
        </w:rPr>
        <w:t>选</w:t>
      </w:r>
      <w:r>
        <w:rPr>
          <w:rFonts w:hint="eastAsia" w:asciiTheme="majorEastAsia" w:hAnsiTheme="majorEastAsia" w:eastAsiaTheme="majorEastAsia"/>
          <w:color w:val="auto"/>
          <w:sz w:val="28"/>
          <w:szCs w:val="28"/>
          <w:highlight w:val="none"/>
        </w:rPr>
        <w:t>结果异议</w:t>
      </w:r>
      <w:bookmarkEnd w:id="362"/>
      <w:bookmarkEnd w:id="363"/>
      <w:bookmarkEnd w:id="364"/>
      <w:bookmarkEnd w:id="365"/>
      <w:bookmarkEnd w:id="366"/>
      <w:bookmarkEnd w:id="367"/>
      <w:bookmarkEnd w:id="368"/>
      <w:bookmarkEnd w:id="369"/>
    </w:p>
    <w:p w14:paraId="0AB2AAAF">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人或者其他利害关系人对评</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结果有异议的，应当在中</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候选人公示期间提出。招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人将在收到异议之日起3日内作出答复；作出答复前，将暂停招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活动。</w:t>
      </w:r>
    </w:p>
    <w:p w14:paraId="0EA889F2">
      <w:pPr>
        <w:pStyle w:val="6"/>
        <w:snapToGrid w:val="0"/>
        <w:spacing w:before="0" w:after="0" w:line="360" w:lineRule="auto"/>
        <w:rPr>
          <w:rFonts w:asciiTheme="majorEastAsia" w:hAnsiTheme="majorEastAsia" w:eastAsiaTheme="majorEastAsia"/>
          <w:color w:val="auto"/>
          <w:sz w:val="28"/>
          <w:szCs w:val="28"/>
          <w:highlight w:val="none"/>
        </w:rPr>
      </w:pPr>
      <w:bookmarkStart w:id="370" w:name="_Toc511645108"/>
      <w:bookmarkStart w:id="371" w:name="_Toc7186412"/>
      <w:bookmarkStart w:id="372" w:name="_Toc46475157"/>
      <w:bookmarkStart w:id="373" w:name="_Toc511644494"/>
      <w:bookmarkStart w:id="374" w:name="_Toc120110821"/>
      <w:bookmarkStart w:id="375" w:name="_Toc51340254"/>
      <w:bookmarkStart w:id="376" w:name="_Toc515441310"/>
      <w:bookmarkStart w:id="377" w:name="_Toc50734487"/>
      <w:r>
        <w:rPr>
          <w:rFonts w:hint="eastAsia" w:asciiTheme="majorEastAsia" w:hAnsiTheme="majorEastAsia" w:eastAsiaTheme="majorEastAsia"/>
          <w:color w:val="auto"/>
          <w:sz w:val="28"/>
          <w:szCs w:val="28"/>
          <w:highlight w:val="none"/>
        </w:rPr>
        <w:t>7.3 中</w:t>
      </w:r>
      <w:r>
        <w:rPr>
          <w:rFonts w:hint="eastAsia" w:asciiTheme="majorEastAsia" w:hAnsiTheme="majorEastAsia" w:eastAsiaTheme="majorEastAsia"/>
          <w:color w:val="auto"/>
          <w:sz w:val="28"/>
          <w:szCs w:val="28"/>
          <w:highlight w:val="none"/>
          <w:lang w:val="en-US" w:eastAsia="zh-CN"/>
        </w:rPr>
        <w:t>选</w:t>
      </w:r>
      <w:r>
        <w:rPr>
          <w:rFonts w:hint="eastAsia" w:asciiTheme="majorEastAsia" w:hAnsiTheme="majorEastAsia" w:eastAsiaTheme="majorEastAsia"/>
          <w:color w:val="auto"/>
          <w:sz w:val="28"/>
          <w:szCs w:val="28"/>
          <w:highlight w:val="none"/>
        </w:rPr>
        <w:t>候选人履约能力审查</w:t>
      </w:r>
      <w:bookmarkEnd w:id="370"/>
      <w:bookmarkEnd w:id="371"/>
      <w:bookmarkEnd w:id="372"/>
      <w:bookmarkEnd w:id="373"/>
      <w:bookmarkEnd w:id="374"/>
      <w:bookmarkEnd w:id="375"/>
      <w:bookmarkEnd w:id="376"/>
      <w:bookmarkEnd w:id="377"/>
    </w:p>
    <w:p w14:paraId="341B47C0">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候选人的经营、财务状况发生较大变化或存在违法行为，招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人认为可能影响其履约能力的，将在发出中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通知书前提请原评审</w:t>
      </w:r>
      <w:r>
        <w:rPr>
          <w:rFonts w:hint="eastAsia" w:asciiTheme="minorEastAsia" w:hAnsiTheme="minorEastAsia"/>
          <w:color w:val="auto"/>
          <w:szCs w:val="21"/>
          <w:highlight w:val="none"/>
          <w:lang w:eastAsia="zh-CN"/>
        </w:rPr>
        <w:t>小组</w:t>
      </w:r>
      <w:r>
        <w:rPr>
          <w:rFonts w:hint="eastAsia" w:asciiTheme="minorEastAsia" w:hAnsiTheme="minorEastAsia"/>
          <w:color w:val="auto"/>
          <w:szCs w:val="21"/>
          <w:highlight w:val="none"/>
        </w:rPr>
        <w:t>按照招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文件规定的标准和方法进行审查确认。</w:t>
      </w:r>
    </w:p>
    <w:p w14:paraId="1C6060D8">
      <w:pPr>
        <w:pStyle w:val="6"/>
        <w:snapToGrid w:val="0"/>
        <w:spacing w:before="0" w:after="0" w:line="360" w:lineRule="auto"/>
        <w:rPr>
          <w:rFonts w:hint="default" w:asciiTheme="majorEastAsia" w:hAnsiTheme="majorEastAsia" w:eastAsiaTheme="majorEastAsia"/>
          <w:color w:val="auto"/>
          <w:sz w:val="28"/>
          <w:szCs w:val="28"/>
          <w:highlight w:val="none"/>
          <w:lang w:val="en-US" w:eastAsia="zh-CN"/>
        </w:rPr>
      </w:pPr>
      <w:bookmarkStart w:id="378" w:name="_Toc515441311"/>
      <w:bookmarkStart w:id="379" w:name="_Toc120110822"/>
      <w:bookmarkStart w:id="380" w:name="_Toc7186413"/>
      <w:bookmarkStart w:id="381" w:name="_Toc50734488"/>
      <w:bookmarkStart w:id="382" w:name="_Toc51340255"/>
      <w:bookmarkStart w:id="383" w:name="_Toc46475158"/>
      <w:bookmarkStart w:id="384" w:name="_Toc511644495"/>
      <w:bookmarkStart w:id="385" w:name="_Toc511645109"/>
      <w:r>
        <w:rPr>
          <w:rFonts w:hint="eastAsia" w:asciiTheme="majorEastAsia" w:hAnsiTheme="majorEastAsia" w:eastAsiaTheme="majorEastAsia"/>
          <w:color w:val="auto"/>
          <w:sz w:val="28"/>
          <w:szCs w:val="28"/>
          <w:highlight w:val="none"/>
        </w:rPr>
        <w:t xml:space="preserve">7.4 </w:t>
      </w:r>
      <w:bookmarkEnd w:id="378"/>
      <w:bookmarkEnd w:id="379"/>
      <w:bookmarkEnd w:id="380"/>
      <w:bookmarkEnd w:id="381"/>
      <w:bookmarkEnd w:id="382"/>
      <w:bookmarkEnd w:id="383"/>
      <w:bookmarkEnd w:id="384"/>
      <w:bookmarkEnd w:id="385"/>
      <w:r>
        <w:rPr>
          <w:rFonts w:hint="eastAsia" w:asciiTheme="majorEastAsia" w:hAnsiTheme="majorEastAsia" w:eastAsiaTheme="majorEastAsia"/>
          <w:color w:val="auto"/>
          <w:sz w:val="28"/>
          <w:szCs w:val="28"/>
          <w:highlight w:val="none"/>
          <w:lang w:val="en-US" w:eastAsia="zh-CN"/>
        </w:rPr>
        <w:t>确定中选人</w:t>
      </w:r>
    </w:p>
    <w:p w14:paraId="193C0405">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按照</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人须知前附表的规定</w:t>
      </w:r>
      <w:r>
        <w:rPr>
          <w:rFonts w:hint="eastAsia" w:asciiTheme="minorEastAsia" w:hAnsiTheme="minorEastAsia"/>
          <w:color w:val="auto"/>
          <w:szCs w:val="21"/>
          <w:highlight w:val="none"/>
          <w:lang w:eastAsia="zh-CN"/>
        </w:rPr>
        <w:t>，由</w:t>
      </w:r>
      <w:r>
        <w:rPr>
          <w:rFonts w:hint="eastAsia" w:asciiTheme="minorEastAsia" w:hAnsiTheme="minorEastAsia"/>
          <w:color w:val="auto"/>
          <w:szCs w:val="21"/>
          <w:highlight w:val="none"/>
        </w:rPr>
        <w:t>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人或招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人授权的评审小组依法确定中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w:t>
      </w:r>
    </w:p>
    <w:p w14:paraId="1579A813">
      <w:pPr>
        <w:pStyle w:val="6"/>
        <w:snapToGrid w:val="0"/>
        <w:spacing w:before="0" w:after="0" w:line="360" w:lineRule="auto"/>
        <w:rPr>
          <w:rFonts w:asciiTheme="majorEastAsia" w:hAnsiTheme="majorEastAsia" w:eastAsiaTheme="majorEastAsia"/>
          <w:color w:val="auto"/>
          <w:sz w:val="28"/>
          <w:szCs w:val="28"/>
          <w:highlight w:val="none"/>
        </w:rPr>
      </w:pPr>
      <w:bookmarkStart w:id="386" w:name="_Toc511645110"/>
      <w:bookmarkStart w:id="387" w:name="_Toc50734489"/>
      <w:bookmarkStart w:id="388" w:name="_Toc515441312"/>
      <w:bookmarkStart w:id="389" w:name="_Toc511644496"/>
      <w:bookmarkStart w:id="390" w:name="_Toc7186414"/>
      <w:bookmarkStart w:id="391" w:name="_Toc120110823"/>
      <w:bookmarkStart w:id="392" w:name="_Toc46475159"/>
      <w:bookmarkStart w:id="393" w:name="_Toc51340256"/>
      <w:r>
        <w:rPr>
          <w:rFonts w:hint="eastAsia" w:asciiTheme="majorEastAsia" w:hAnsiTheme="majorEastAsia" w:eastAsiaTheme="majorEastAsia"/>
          <w:color w:val="auto"/>
          <w:sz w:val="28"/>
          <w:szCs w:val="28"/>
          <w:highlight w:val="none"/>
        </w:rPr>
        <w:t>7.5 中</w:t>
      </w:r>
      <w:r>
        <w:rPr>
          <w:rFonts w:hint="eastAsia" w:asciiTheme="majorEastAsia" w:hAnsiTheme="majorEastAsia" w:eastAsiaTheme="majorEastAsia"/>
          <w:color w:val="auto"/>
          <w:sz w:val="28"/>
          <w:szCs w:val="28"/>
          <w:highlight w:val="none"/>
          <w:lang w:eastAsia="zh-CN"/>
        </w:rPr>
        <w:t>选</w:t>
      </w:r>
      <w:r>
        <w:rPr>
          <w:rFonts w:hint="eastAsia" w:asciiTheme="majorEastAsia" w:hAnsiTheme="majorEastAsia" w:eastAsiaTheme="majorEastAsia"/>
          <w:color w:val="auto"/>
          <w:sz w:val="28"/>
          <w:szCs w:val="28"/>
          <w:highlight w:val="none"/>
        </w:rPr>
        <w:t>通知</w:t>
      </w:r>
      <w:bookmarkEnd w:id="386"/>
      <w:bookmarkEnd w:id="387"/>
      <w:bookmarkEnd w:id="388"/>
      <w:bookmarkEnd w:id="389"/>
      <w:bookmarkEnd w:id="390"/>
      <w:bookmarkEnd w:id="391"/>
      <w:bookmarkEnd w:id="392"/>
      <w:bookmarkEnd w:id="393"/>
    </w:p>
    <w:p w14:paraId="14E01794">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在本章第3.3款规定的</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有效期内，招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人以书面形式向中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人发出中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通知书，同时将中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结果通知未中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的</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w:t>
      </w:r>
    </w:p>
    <w:p w14:paraId="45666A81">
      <w:pPr>
        <w:pStyle w:val="6"/>
        <w:snapToGrid w:val="0"/>
        <w:spacing w:before="0" w:after="0" w:line="360" w:lineRule="auto"/>
        <w:rPr>
          <w:rFonts w:asciiTheme="majorEastAsia" w:hAnsiTheme="majorEastAsia" w:eastAsiaTheme="majorEastAsia"/>
          <w:color w:val="auto"/>
          <w:sz w:val="28"/>
          <w:szCs w:val="28"/>
          <w:highlight w:val="none"/>
        </w:rPr>
      </w:pPr>
      <w:bookmarkStart w:id="394" w:name="_Toc51340257"/>
      <w:bookmarkStart w:id="395" w:name="_Toc46475160"/>
      <w:bookmarkStart w:id="396" w:name="_Toc120110824"/>
      <w:bookmarkStart w:id="397" w:name="_Toc50734490"/>
      <w:bookmarkStart w:id="398" w:name="_Toc7186415"/>
      <w:bookmarkStart w:id="399" w:name="_Toc515441313"/>
      <w:bookmarkStart w:id="400" w:name="_Toc511644497"/>
      <w:bookmarkStart w:id="401" w:name="_Toc511645111"/>
      <w:r>
        <w:rPr>
          <w:rFonts w:hint="eastAsia" w:asciiTheme="majorEastAsia" w:hAnsiTheme="majorEastAsia" w:eastAsiaTheme="majorEastAsia"/>
          <w:color w:val="auto"/>
          <w:sz w:val="28"/>
          <w:szCs w:val="28"/>
          <w:highlight w:val="none"/>
        </w:rPr>
        <w:t>7.6 履约保证金</w:t>
      </w:r>
      <w:bookmarkEnd w:id="394"/>
      <w:bookmarkEnd w:id="395"/>
      <w:bookmarkEnd w:id="396"/>
      <w:bookmarkEnd w:id="397"/>
      <w:bookmarkEnd w:id="398"/>
      <w:bookmarkEnd w:id="399"/>
      <w:bookmarkEnd w:id="400"/>
      <w:bookmarkEnd w:id="401"/>
    </w:p>
    <w:p w14:paraId="69193D12">
      <w:pPr>
        <w:widowControl/>
        <w:shd w:val="clear" w:color="auto" w:fill="FFFFFF"/>
        <w:snapToGrid w:val="0"/>
        <w:spacing w:line="360" w:lineRule="auto"/>
        <w:ind w:firstLine="420" w:firstLineChars="200"/>
        <w:jc w:val="left"/>
        <w:rPr>
          <w:rFonts w:hint="eastAsia" w:asciiTheme="minorEastAsia" w:hAnsiTheme="minorEastAsia"/>
          <w:color w:val="auto"/>
          <w:szCs w:val="21"/>
          <w:highlight w:val="none"/>
        </w:rPr>
      </w:pPr>
      <w:r>
        <w:rPr>
          <w:rFonts w:hint="eastAsia" w:asciiTheme="minorEastAsia" w:hAnsiTheme="minorEastAsia"/>
          <w:color w:val="auto"/>
          <w:szCs w:val="21"/>
          <w:highlight w:val="none"/>
        </w:rPr>
        <w:t>7.6.1 在签订合同前，中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人应按</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人须知前附表规定的形式、金额和招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文件</w:t>
      </w:r>
      <w:r>
        <w:rPr>
          <w:rFonts w:hint="eastAsia" w:asciiTheme="minorEastAsia" w:hAnsiTheme="minorEastAsia"/>
          <w:color w:val="auto"/>
          <w:szCs w:val="21"/>
          <w:highlight w:val="none"/>
          <w:lang w:val="en-US" w:eastAsia="zh-CN"/>
        </w:rPr>
        <w:t>规定</w:t>
      </w:r>
      <w:r>
        <w:rPr>
          <w:rFonts w:hint="eastAsia" w:asciiTheme="minorEastAsia" w:hAnsiTheme="minorEastAsia"/>
          <w:color w:val="auto"/>
          <w:szCs w:val="21"/>
          <w:highlight w:val="none"/>
        </w:rPr>
        <w:t>向招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人提交履约保证金。</w:t>
      </w:r>
    </w:p>
    <w:p w14:paraId="640BEDEC">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7.6.2 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人不能按本章第7.6.1项要求提交履约保证金的，视为放弃中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，其</w:t>
      </w:r>
      <w:r>
        <w:rPr>
          <w:rFonts w:hint="eastAsia" w:asciiTheme="minorEastAsia" w:hAnsiTheme="minorEastAsia"/>
          <w:color w:val="auto"/>
          <w:szCs w:val="21"/>
          <w:highlight w:val="none"/>
          <w:lang w:val="en-US" w:eastAsia="zh-CN"/>
        </w:rPr>
        <w:t>参选保证金</w:t>
      </w:r>
      <w:r>
        <w:rPr>
          <w:rFonts w:hint="eastAsia" w:asciiTheme="minorEastAsia" w:hAnsiTheme="minorEastAsia"/>
          <w:color w:val="auto"/>
          <w:szCs w:val="21"/>
          <w:highlight w:val="none"/>
        </w:rPr>
        <w:t>不予退还，给招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人造成的损失超过</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保证金数额的，中</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人还应当对超过部分予以赔偿。</w:t>
      </w:r>
    </w:p>
    <w:p w14:paraId="01362F20">
      <w:pPr>
        <w:pStyle w:val="6"/>
        <w:snapToGrid w:val="0"/>
        <w:spacing w:before="0" w:after="0" w:line="360" w:lineRule="auto"/>
        <w:rPr>
          <w:rFonts w:asciiTheme="majorEastAsia" w:hAnsiTheme="majorEastAsia" w:eastAsiaTheme="majorEastAsia"/>
          <w:color w:val="auto"/>
          <w:sz w:val="28"/>
          <w:szCs w:val="28"/>
          <w:highlight w:val="none"/>
        </w:rPr>
      </w:pPr>
      <w:bookmarkStart w:id="402" w:name="_Toc7186416"/>
      <w:bookmarkStart w:id="403" w:name="_Toc46475161"/>
      <w:bookmarkStart w:id="404" w:name="_Toc515441314"/>
      <w:bookmarkStart w:id="405" w:name="_Toc120110825"/>
      <w:bookmarkStart w:id="406" w:name="_Toc511644498"/>
      <w:bookmarkStart w:id="407" w:name="_Toc51340258"/>
      <w:bookmarkStart w:id="408" w:name="_Toc511645112"/>
      <w:bookmarkStart w:id="409" w:name="_Toc50734491"/>
      <w:r>
        <w:rPr>
          <w:rFonts w:hint="eastAsia" w:asciiTheme="majorEastAsia" w:hAnsiTheme="majorEastAsia" w:eastAsiaTheme="majorEastAsia"/>
          <w:color w:val="auto"/>
          <w:sz w:val="28"/>
          <w:szCs w:val="28"/>
          <w:highlight w:val="none"/>
        </w:rPr>
        <w:t>7.7 签订合同</w:t>
      </w:r>
      <w:bookmarkEnd w:id="402"/>
      <w:bookmarkEnd w:id="403"/>
      <w:bookmarkEnd w:id="404"/>
      <w:bookmarkEnd w:id="405"/>
      <w:bookmarkEnd w:id="406"/>
      <w:bookmarkEnd w:id="407"/>
      <w:bookmarkEnd w:id="408"/>
      <w:bookmarkEnd w:id="409"/>
    </w:p>
    <w:p w14:paraId="760C7200">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7.7.1 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人和中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人应当在中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通知书发出之日起</w:t>
      </w:r>
      <w:r>
        <w:rPr>
          <w:rFonts w:asciiTheme="minorEastAsia" w:hAnsiTheme="minorEastAsia"/>
          <w:color w:val="auto"/>
          <w:szCs w:val="21"/>
          <w:highlight w:val="none"/>
        </w:rPr>
        <w:t>7</w:t>
      </w:r>
      <w:r>
        <w:rPr>
          <w:rFonts w:hint="eastAsia" w:asciiTheme="minorEastAsia" w:hAnsiTheme="minorEastAsia"/>
          <w:color w:val="auto"/>
          <w:szCs w:val="21"/>
          <w:highlight w:val="none"/>
        </w:rPr>
        <w:t>日内，根据招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文件和中</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人的</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文件订立书面合同。中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人无正当理由拒签合同，在签订合同时向招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人提出附加条件，或者不按照招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文件要求提交履约保证金的，招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人有权取消其中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资格，其</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保证金不予退还；给招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人造成的损失超过</w:t>
      </w:r>
      <w:r>
        <w:rPr>
          <w:rFonts w:hint="eastAsia" w:asciiTheme="minorEastAsia" w:hAnsiTheme="minorEastAsia"/>
          <w:color w:val="auto"/>
          <w:szCs w:val="21"/>
          <w:highlight w:val="none"/>
          <w:lang w:val="en-US" w:eastAsia="zh-CN"/>
        </w:rPr>
        <w:t>参</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保证金数额的，中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人还应当对超过部分予以赔偿。</w:t>
      </w:r>
    </w:p>
    <w:p w14:paraId="29C4B71B">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7.7.2 发出中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通知书后，</w:t>
      </w:r>
      <w:r>
        <w:rPr>
          <w:rFonts w:hint="eastAsia" w:asciiTheme="minorEastAsia" w:hAnsiTheme="minorEastAsia"/>
          <w:color w:val="auto"/>
          <w:szCs w:val="21"/>
          <w:highlight w:val="none"/>
          <w:lang w:val="en-US" w:eastAsia="zh-CN"/>
        </w:rPr>
        <w:t>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人无正当理由拒签合同，或者在签订合同时向</w:t>
      </w:r>
      <w:r>
        <w:rPr>
          <w:rFonts w:hint="eastAsia" w:asciiTheme="minorEastAsia" w:hAnsiTheme="minorEastAsia"/>
          <w:color w:val="auto"/>
          <w:szCs w:val="21"/>
          <w:highlight w:val="none"/>
          <w:lang w:val="en-US" w:eastAsia="zh-CN"/>
        </w:rPr>
        <w:t>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人提出附加条件的，招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w:t>
      </w:r>
      <w:r>
        <w:rPr>
          <w:rFonts w:hint="eastAsia" w:asciiTheme="minorEastAsia" w:hAnsiTheme="minorEastAsia"/>
          <w:color w:val="auto"/>
          <w:szCs w:val="21"/>
          <w:highlight w:val="none"/>
          <w:lang w:val="en-US" w:eastAsia="zh-CN"/>
        </w:rPr>
        <w:t>有权没收其参</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保证金</w:t>
      </w:r>
      <w:r>
        <w:rPr>
          <w:rFonts w:hint="eastAsia" w:asciiTheme="minorEastAsia" w:hAnsiTheme="minorEastAsia"/>
          <w:color w:val="auto"/>
          <w:szCs w:val="21"/>
          <w:highlight w:val="none"/>
          <w:lang w:eastAsia="zh-CN"/>
        </w:rPr>
        <w:t>，</w:t>
      </w:r>
      <w:r>
        <w:rPr>
          <w:rFonts w:hint="eastAsia" w:asciiTheme="minorEastAsia" w:hAnsiTheme="minorEastAsia"/>
          <w:color w:val="auto"/>
          <w:szCs w:val="21"/>
          <w:highlight w:val="none"/>
          <w:lang w:val="en-US" w:eastAsia="zh-CN"/>
        </w:rPr>
        <w:t>给招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人造成损失的，应当赔偿损失。</w:t>
      </w:r>
    </w:p>
    <w:p w14:paraId="769E3715">
      <w:pPr>
        <w:pStyle w:val="5"/>
        <w:adjustRightInd w:val="0"/>
        <w:snapToGrid w:val="0"/>
        <w:spacing w:before="0" w:after="0" w:line="360" w:lineRule="auto"/>
        <w:rPr>
          <w:rFonts w:asciiTheme="majorEastAsia" w:hAnsiTheme="majorEastAsia"/>
          <w:color w:val="auto"/>
          <w:sz w:val="28"/>
          <w:szCs w:val="28"/>
          <w:highlight w:val="none"/>
        </w:rPr>
      </w:pPr>
      <w:bookmarkStart w:id="410" w:name="_Toc51340259"/>
      <w:bookmarkStart w:id="411" w:name="_Toc511645113"/>
      <w:bookmarkStart w:id="412" w:name="_Toc120110826"/>
      <w:bookmarkStart w:id="413" w:name="_Toc515441315"/>
      <w:bookmarkStart w:id="414" w:name="_Toc46475162"/>
      <w:bookmarkStart w:id="415" w:name="_Toc50734492"/>
      <w:bookmarkStart w:id="416" w:name="_Toc7186417"/>
      <w:bookmarkStart w:id="417" w:name="_Toc511644499"/>
      <w:r>
        <w:rPr>
          <w:rFonts w:hint="eastAsia" w:asciiTheme="majorEastAsia" w:hAnsiTheme="majorEastAsia"/>
          <w:color w:val="auto"/>
          <w:sz w:val="28"/>
          <w:szCs w:val="28"/>
          <w:highlight w:val="none"/>
        </w:rPr>
        <w:t>8. 纪律和监督</w:t>
      </w:r>
      <w:bookmarkEnd w:id="410"/>
      <w:bookmarkEnd w:id="411"/>
      <w:bookmarkEnd w:id="412"/>
      <w:bookmarkEnd w:id="413"/>
      <w:bookmarkEnd w:id="414"/>
      <w:bookmarkEnd w:id="415"/>
      <w:bookmarkEnd w:id="416"/>
      <w:bookmarkEnd w:id="417"/>
    </w:p>
    <w:p w14:paraId="2834EFEA">
      <w:pPr>
        <w:pStyle w:val="6"/>
        <w:snapToGrid w:val="0"/>
        <w:spacing w:before="0" w:after="0" w:line="360" w:lineRule="auto"/>
        <w:rPr>
          <w:b w:val="0"/>
          <w:color w:val="auto"/>
          <w:sz w:val="28"/>
          <w:szCs w:val="28"/>
          <w:highlight w:val="none"/>
        </w:rPr>
      </w:pPr>
      <w:bookmarkStart w:id="418" w:name="_Toc511644500"/>
      <w:bookmarkStart w:id="419" w:name="_Toc7186418"/>
      <w:bookmarkStart w:id="420" w:name="_Toc51340260"/>
      <w:bookmarkStart w:id="421" w:name="_Toc46475163"/>
      <w:bookmarkStart w:id="422" w:name="_Toc50734493"/>
      <w:bookmarkStart w:id="423" w:name="_Toc120110827"/>
      <w:bookmarkStart w:id="424" w:name="_Toc515441316"/>
      <w:bookmarkStart w:id="425" w:name="_Toc511645114"/>
      <w:r>
        <w:rPr>
          <w:rFonts w:hint="eastAsia" w:asciiTheme="majorEastAsia" w:hAnsiTheme="majorEastAsia" w:eastAsiaTheme="majorEastAsia"/>
          <w:color w:val="auto"/>
          <w:sz w:val="28"/>
          <w:szCs w:val="28"/>
          <w:highlight w:val="none"/>
        </w:rPr>
        <w:t>8.1 对招</w:t>
      </w:r>
      <w:r>
        <w:rPr>
          <w:rFonts w:hint="eastAsia" w:asciiTheme="majorEastAsia" w:hAnsiTheme="majorEastAsia" w:eastAsiaTheme="majorEastAsia"/>
          <w:color w:val="auto"/>
          <w:sz w:val="28"/>
          <w:szCs w:val="28"/>
          <w:highlight w:val="none"/>
          <w:lang w:val="en-US" w:eastAsia="zh-CN"/>
        </w:rPr>
        <w:t>选</w:t>
      </w:r>
      <w:r>
        <w:rPr>
          <w:rFonts w:hint="eastAsia" w:asciiTheme="majorEastAsia" w:hAnsiTheme="majorEastAsia" w:eastAsiaTheme="majorEastAsia"/>
          <w:color w:val="auto"/>
          <w:sz w:val="28"/>
          <w:szCs w:val="28"/>
          <w:highlight w:val="none"/>
        </w:rPr>
        <w:t>人的纪律要求</w:t>
      </w:r>
      <w:bookmarkEnd w:id="418"/>
      <w:bookmarkEnd w:id="419"/>
      <w:bookmarkEnd w:id="420"/>
      <w:bookmarkEnd w:id="421"/>
      <w:bookmarkEnd w:id="422"/>
      <w:bookmarkEnd w:id="423"/>
      <w:bookmarkEnd w:id="424"/>
      <w:bookmarkEnd w:id="425"/>
    </w:p>
    <w:p w14:paraId="52DBE4A4">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人不得泄露招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活动中应当保密的情况和资料，不得与</w:t>
      </w:r>
      <w:r>
        <w:rPr>
          <w:rFonts w:hint="eastAsia" w:asciiTheme="minorEastAsia" w:hAnsiTheme="minorEastAsia"/>
          <w:color w:val="auto"/>
          <w:szCs w:val="21"/>
          <w:highlight w:val="none"/>
          <w:lang w:val="en-US" w:eastAsia="zh-CN"/>
        </w:rPr>
        <w:t>参</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人串通损害国家利益、社会公共利益或者他人合法权益。</w:t>
      </w:r>
    </w:p>
    <w:p w14:paraId="687FB3B8">
      <w:pPr>
        <w:pStyle w:val="6"/>
        <w:snapToGrid w:val="0"/>
        <w:spacing w:before="0" w:after="0" w:line="360" w:lineRule="auto"/>
        <w:rPr>
          <w:rFonts w:asciiTheme="majorEastAsia" w:hAnsiTheme="majorEastAsia" w:eastAsiaTheme="majorEastAsia"/>
          <w:color w:val="auto"/>
          <w:sz w:val="28"/>
          <w:szCs w:val="28"/>
          <w:highlight w:val="none"/>
        </w:rPr>
      </w:pPr>
      <w:bookmarkStart w:id="426" w:name="_Toc7186419"/>
      <w:bookmarkStart w:id="427" w:name="_Toc511645115"/>
      <w:bookmarkStart w:id="428" w:name="_Toc120110828"/>
      <w:bookmarkStart w:id="429" w:name="_Toc46475164"/>
      <w:bookmarkStart w:id="430" w:name="_Toc511644501"/>
      <w:bookmarkStart w:id="431" w:name="_Toc50734494"/>
      <w:bookmarkStart w:id="432" w:name="_Toc515441317"/>
      <w:bookmarkStart w:id="433" w:name="_Toc51340261"/>
      <w:r>
        <w:rPr>
          <w:rFonts w:hint="eastAsia" w:asciiTheme="majorEastAsia" w:hAnsiTheme="majorEastAsia" w:eastAsiaTheme="majorEastAsia"/>
          <w:color w:val="auto"/>
          <w:sz w:val="28"/>
          <w:szCs w:val="28"/>
          <w:highlight w:val="none"/>
        </w:rPr>
        <w:t>8.2 对</w:t>
      </w:r>
      <w:r>
        <w:rPr>
          <w:rFonts w:hint="eastAsia" w:asciiTheme="majorEastAsia" w:hAnsiTheme="majorEastAsia" w:eastAsiaTheme="majorEastAsia"/>
          <w:color w:val="auto"/>
          <w:sz w:val="28"/>
          <w:szCs w:val="28"/>
          <w:highlight w:val="none"/>
          <w:lang w:val="en-US" w:eastAsia="zh-CN"/>
        </w:rPr>
        <w:t>参选</w:t>
      </w:r>
      <w:r>
        <w:rPr>
          <w:rFonts w:hint="eastAsia" w:asciiTheme="majorEastAsia" w:hAnsiTheme="majorEastAsia" w:eastAsiaTheme="majorEastAsia"/>
          <w:color w:val="auto"/>
          <w:sz w:val="28"/>
          <w:szCs w:val="28"/>
          <w:highlight w:val="none"/>
        </w:rPr>
        <w:t>人的纪律要求</w:t>
      </w:r>
      <w:bookmarkEnd w:id="426"/>
      <w:bookmarkEnd w:id="427"/>
      <w:bookmarkEnd w:id="428"/>
      <w:bookmarkEnd w:id="429"/>
      <w:bookmarkEnd w:id="430"/>
      <w:bookmarkEnd w:id="431"/>
      <w:bookmarkEnd w:id="432"/>
      <w:bookmarkEnd w:id="433"/>
    </w:p>
    <w:p w14:paraId="291DEA26">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人不得相互串通或者与招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人串通投</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，不得向招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人或者评审小组成员行贿谋取中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，不得以他人名义</w:t>
      </w:r>
      <w:r>
        <w:rPr>
          <w:rFonts w:hint="eastAsia" w:asciiTheme="minorEastAsia" w:hAnsiTheme="minorEastAsia"/>
          <w:color w:val="auto"/>
          <w:szCs w:val="21"/>
          <w:highlight w:val="none"/>
          <w:lang w:val="en-US" w:eastAsia="zh-CN"/>
        </w:rPr>
        <w:t>参</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或者以其他方式弄虚作假骗取中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w:t>
      </w:r>
      <w:r>
        <w:rPr>
          <w:rFonts w:hint="eastAsia" w:asciiTheme="minorEastAsia" w:hAnsiTheme="minorEastAsia"/>
          <w:color w:val="auto"/>
          <w:szCs w:val="21"/>
          <w:highlight w:val="none"/>
          <w:lang w:val="en-US" w:eastAsia="zh-CN"/>
        </w:rPr>
        <w:t>参</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人不得以任何方式干扰、影响评</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工作。</w:t>
      </w:r>
    </w:p>
    <w:p w14:paraId="007F4978">
      <w:pPr>
        <w:pStyle w:val="6"/>
        <w:snapToGrid w:val="0"/>
        <w:spacing w:before="0" w:after="0" w:line="360" w:lineRule="auto"/>
        <w:rPr>
          <w:rFonts w:asciiTheme="majorEastAsia" w:hAnsiTheme="majorEastAsia" w:eastAsiaTheme="majorEastAsia"/>
          <w:color w:val="auto"/>
          <w:sz w:val="28"/>
          <w:szCs w:val="28"/>
          <w:highlight w:val="none"/>
        </w:rPr>
      </w:pPr>
      <w:bookmarkStart w:id="434" w:name="_Toc120110829"/>
      <w:bookmarkStart w:id="435" w:name="_Toc50734495"/>
      <w:bookmarkStart w:id="436" w:name="_Toc515441318"/>
      <w:bookmarkStart w:id="437" w:name="_Toc7186420"/>
      <w:bookmarkStart w:id="438" w:name="_Toc51340262"/>
      <w:bookmarkStart w:id="439" w:name="_Toc46475165"/>
      <w:bookmarkStart w:id="440" w:name="_Toc511644502"/>
      <w:bookmarkStart w:id="441" w:name="_Toc511645116"/>
      <w:r>
        <w:rPr>
          <w:rFonts w:hint="eastAsia" w:asciiTheme="majorEastAsia" w:hAnsiTheme="majorEastAsia" w:eastAsiaTheme="majorEastAsia"/>
          <w:color w:val="auto"/>
          <w:sz w:val="28"/>
          <w:szCs w:val="28"/>
          <w:highlight w:val="none"/>
        </w:rPr>
        <w:t>8.3 对评审小组成员的纪律要求</w:t>
      </w:r>
      <w:bookmarkEnd w:id="434"/>
      <w:bookmarkEnd w:id="435"/>
      <w:bookmarkEnd w:id="436"/>
      <w:bookmarkEnd w:id="437"/>
      <w:bookmarkEnd w:id="438"/>
      <w:bookmarkEnd w:id="439"/>
      <w:bookmarkEnd w:id="440"/>
      <w:bookmarkEnd w:id="441"/>
    </w:p>
    <w:p w14:paraId="4FE2E767">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评审小组成员不得收受他人的财物或者其他好处，不得向他人透露对</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文件的评审和比较、中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候选人的推荐情况以及评</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有关的其他情况。在评</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活动中，评审小组成员应当客观、公正地履行职责，遵守职业道德，不得擅离职守，影响评</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程序正常进行，不得使用第三章“评</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办法”没有规定的评审因素和标准进行评</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w:t>
      </w:r>
    </w:p>
    <w:p w14:paraId="5952D2C9">
      <w:pPr>
        <w:pStyle w:val="6"/>
        <w:snapToGrid w:val="0"/>
        <w:spacing w:before="0" w:after="0" w:line="360" w:lineRule="auto"/>
        <w:rPr>
          <w:rFonts w:asciiTheme="majorEastAsia" w:hAnsiTheme="majorEastAsia" w:eastAsiaTheme="majorEastAsia"/>
          <w:color w:val="auto"/>
          <w:sz w:val="28"/>
          <w:szCs w:val="28"/>
          <w:highlight w:val="none"/>
        </w:rPr>
      </w:pPr>
      <w:bookmarkStart w:id="442" w:name="_Toc515441319"/>
      <w:bookmarkStart w:id="443" w:name="_Toc46475166"/>
      <w:bookmarkStart w:id="444" w:name="_Toc120110830"/>
      <w:bookmarkStart w:id="445" w:name="_Toc50734496"/>
      <w:bookmarkStart w:id="446" w:name="_Toc511645117"/>
      <w:bookmarkStart w:id="447" w:name="_Toc511644503"/>
      <w:bookmarkStart w:id="448" w:name="_Toc7186421"/>
      <w:bookmarkStart w:id="449" w:name="_Toc51340263"/>
      <w:r>
        <w:rPr>
          <w:rFonts w:hint="eastAsia" w:asciiTheme="majorEastAsia" w:hAnsiTheme="majorEastAsia" w:eastAsiaTheme="majorEastAsia"/>
          <w:color w:val="auto"/>
          <w:sz w:val="28"/>
          <w:szCs w:val="28"/>
          <w:highlight w:val="none"/>
        </w:rPr>
        <w:t>8.4 对与评</w:t>
      </w:r>
      <w:r>
        <w:rPr>
          <w:rFonts w:hint="eastAsia" w:asciiTheme="majorEastAsia" w:hAnsiTheme="majorEastAsia" w:eastAsiaTheme="majorEastAsia"/>
          <w:color w:val="auto"/>
          <w:sz w:val="28"/>
          <w:szCs w:val="28"/>
          <w:highlight w:val="none"/>
          <w:lang w:eastAsia="zh-CN"/>
        </w:rPr>
        <w:t>选</w:t>
      </w:r>
      <w:r>
        <w:rPr>
          <w:rFonts w:hint="eastAsia" w:asciiTheme="majorEastAsia" w:hAnsiTheme="majorEastAsia" w:eastAsiaTheme="majorEastAsia"/>
          <w:color w:val="auto"/>
          <w:sz w:val="28"/>
          <w:szCs w:val="28"/>
          <w:highlight w:val="none"/>
        </w:rPr>
        <w:t>活动有关的工作人员的纪律要求</w:t>
      </w:r>
      <w:bookmarkEnd w:id="442"/>
      <w:bookmarkEnd w:id="443"/>
      <w:bookmarkEnd w:id="444"/>
      <w:bookmarkEnd w:id="445"/>
      <w:bookmarkEnd w:id="446"/>
      <w:bookmarkEnd w:id="447"/>
      <w:bookmarkEnd w:id="448"/>
      <w:bookmarkEnd w:id="449"/>
    </w:p>
    <w:p w14:paraId="2EB4EFB6">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与评</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活动有关的工作人员不得收受他人的财物或者其他好处，不得向他人透露对</w:t>
      </w:r>
      <w:r>
        <w:rPr>
          <w:rFonts w:hint="eastAsia" w:asciiTheme="minorEastAsia" w:hAnsiTheme="minorEastAsia"/>
          <w:color w:val="auto"/>
          <w:szCs w:val="21"/>
          <w:highlight w:val="none"/>
          <w:lang w:val="en-US" w:eastAsia="zh-CN"/>
        </w:rPr>
        <w:t>参</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文件的评审和比较、中</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候选人的推荐情况以及评</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有关的其他情况。在评</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活动中，与评</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活动有关的工作人员不得擅离职守，影响评</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程序正常进行。</w:t>
      </w:r>
    </w:p>
    <w:p w14:paraId="00325271">
      <w:pPr>
        <w:pStyle w:val="6"/>
        <w:snapToGrid w:val="0"/>
        <w:spacing w:before="0" w:after="0" w:line="360" w:lineRule="auto"/>
        <w:rPr>
          <w:rFonts w:asciiTheme="majorEastAsia" w:hAnsiTheme="majorEastAsia" w:eastAsiaTheme="majorEastAsia"/>
          <w:color w:val="auto"/>
          <w:sz w:val="28"/>
          <w:szCs w:val="28"/>
          <w:highlight w:val="none"/>
        </w:rPr>
      </w:pPr>
      <w:bookmarkStart w:id="450" w:name="_Toc511644504"/>
      <w:bookmarkStart w:id="451" w:name="_Toc120110831"/>
      <w:bookmarkStart w:id="452" w:name="_Toc511645118"/>
      <w:bookmarkStart w:id="453" w:name="_Toc7186422"/>
      <w:bookmarkStart w:id="454" w:name="_Toc50734497"/>
      <w:bookmarkStart w:id="455" w:name="_Toc51340264"/>
      <w:bookmarkStart w:id="456" w:name="_Toc46475167"/>
      <w:bookmarkStart w:id="457" w:name="_Toc515441320"/>
      <w:r>
        <w:rPr>
          <w:rFonts w:hint="eastAsia" w:asciiTheme="majorEastAsia" w:hAnsiTheme="majorEastAsia" w:eastAsiaTheme="majorEastAsia"/>
          <w:color w:val="auto"/>
          <w:sz w:val="28"/>
          <w:szCs w:val="28"/>
          <w:highlight w:val="none"/>
        </w:rPr>
        <w:t>8.5 投诉</w:t>
      </w:r>
      <w:bookmarkEnd w:id="450"/>
      <w:bookmarkEnd w:id="451"/>
      <w:bookmarkEnd w:id="452"/>
      <w:bookmarkEnd w:id="453"/>
      <w:bookmarkEnd w:id="454"/>
      <w:bookmarkEnd w:id="455"/>
      <w:bookmarkEnd w:id="456"/>
      <w:bookmarkEnd w:id="457"/>
    </w:p>
    <w:p w14:paraId="7A4BB042">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 xml:space="preserve">8.5.1 </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人或者其他利害关系人认为招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活动不符合法律、行政法规规定的，可以自知道或者应当知道之日起</w:t>
      </w:r>
      <w:r>
        <w:rPr>
          <w:rFonts w:asciiTheme="minorEastAsia" w:hAnsiTheme="minorEastAsia"/>
          <w:color w:val="auto"/>
          <w:szCs w:val="21"/>
          <w:highlight w:val="none"/>
        </w:rPr>
        <w:t>3</w:t>
      </w:r>
      <w:r>
        <w:rPr>
          <w:rFonts w:hint="eastAsia" w:asciiTheme="minorEastAsia" w:hAnsiTheme="minorEastAsia"/>
          <w:color w:val="auto"/>
          <w:szCs w:val="21"/>
          <w:highlight w:val="none"/>
        </w:rPr>
        <w:t>日内向本招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项目的监督部门投诉。投诉应当有明确的请求和必要的证明材料。</w:t>
      </w:r>
    </w:p>
    <w:p w14:paraId="2A71554B">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 xml:space="preserve">8.5.2 </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人或者其他利害关系人对招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文件、开</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和评</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结果提出投诉的，应当按照</w:t>
      </w:r>
      <w:r>
        <w:rPr>
          <w:rFonts w:hint="eastAsia" w:asciiTheme="minorEastAsia" w:hAnsiTheme="minorEastAsia"/>
          <w:color w:val="auto"/>
          <w:szCs w:val="21"/>
          <w:highlight w:val="none"/>
          <w:lang w:val="en-US" w:eastAsia="zh-CN"/>
        </w:rPr>
        <w:t>参</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人须知的规定先向招</w:t>
      </w:r>
      <w:r>
        <w:rPr>
          <w:rFonts w:hint="eastAsia" w:asciiTheme="minorEastAsia" w:hAnsiTheme="minorEastAsia"/>
          <w:color w:val="auto"/>
          <w:szCs w:val="21"/>
          <w:highlight w:val="none"/>
          <w:lang w:eastAsia="zh-CN"/>
        </w:rPr>
        <w:t>选</w:t>
      </w:r>
      <w:r>
        <w:rPr>
          <w:rFonts w:hint="eastAsia" w:asciiTheme="minorEastAsia" w:hAnsiTheme="minorEastAsia"/>
          <w:color w:val="auto"/>
          <w:szCs w:val="21"/>
          <w:highlight w:val="none"/>
        </w:rPr>
        <w:t>人提出异议。</w:t>
      </w:r>
    </w:p>
    <w:p w14:paraId="03DC757A">
      <w:pPr>
        <w:pStyle w:val="5"/>
        <w:adjustRightInd w:val="0"/>
        <w:snapToGrid w:val="0"/>
        <w:spacing w:before="0" w:after="0" w:line="360" w:lineRule="auto"/>
        <w:rPr>
          <w:rFonts w:asciiTheme="majorEastAsia" w:hAnsiTheme="majorEastAsia"/>
          <w:color w:val="auto"/>
          <w:sz w:val="28"/>
          <w:szCs w:val="28"/>
          <w:highlight w:val="none"/>
        </w:rPr>
      </w:pPr>
      <w:bookmarkStart w:id="458" w:name="_Toc120110832"/>
      <w:bookmarkStart w:id="459" w:name="_Toc515441321"/>
      <w:bookmarkStart w:id="460" w:name="_Toc51340265"/>
      <w:bookmarkStart w:id="461" w:name="_Toc46475168"/>
      <w:bookmarkStart w:id="462" w:name="_Toc511645119"/>
      <w:bookmarkStart w:id="463" w:name="_Toc7186423"/>
      <w:bookmarkStart w:id="464" w:name="_Toc50734498"/>
      <w:bookmarkStart w:id="465" w:name="_Toc511644505"/>
      <w:r>
        <w:rPr>
          <w:rFonts w:hint="eastAsia" w:asciiTheme="majorEastAsia" w:hAnsiTheme="majorEastAsia"/>
          <w:color w:val="auto"/>
          <w:sz w:val="28"/>
          <w:szCs w:val="28"/>
          <w:highlight w:val="none"/>
        </w:rPr>
        <w:t>9. 需要补充的其他内容</w:t>
      </w:r>
      <w:bookmarkEnd w:id="458"/>
      <w:bookmarkEnd w:id="459"/>
      <w:bookmarkEnd w:id="460"/>
      <w:bookmarkEnd w:id="461"/>
      <w:bookmarkEnd w:id="462"/>
      <w:bookmarkEnd w:id="463"/>
      <w:bookmarkEnd w:id="464"/>
      <w:bookmarkEnd w:id="465"/>
    </w:p>
    <w:p w14:paraId="41B21D96">
      <w:pPr>
        <w:spacing w:line="348" w:lineRule="auto"/>
        <w:ind w:firstLine="435"/>
        <w:rPr>
          <w:rFonts w:ascii="宋体" w:hAnsi="宋体" w:eastAsia="宋体"/>
          <w:b w:val="0"/>
          <w:bCs w:val="0"/>
          <w:color w:val="auto"/>
          <w:highlight w:val="none"/>
        </w:rPr>
      </w:pPr>
      <w:bookmarkStart w:id="466" w:name="_Toc511644506"/>
      <w:bookmarkStart w:id="467" w:name="_Toc7186424"/>
      <w:bookmarkStart w:id="468" w:name="_Toc515441322"/>
      <w:bookmarkStart w:id="469" w:name="_Toc50734499"/>
      <w:bookmarkStart w:id="470" w:name="_Toc511645120"/>
      <w:bookmarkStart w:id="471" w:name="_Toc46475169"/>
      <w:r>
        <w:rPr>
          <w:rFonts w:ascii="宋体" w:hAnsi="宋体" w:eastAsia="宋体"/>
          <w:b w:val="0"/>
          <w:bCs w:val="0"/>
          <w:color w:val="auto"/>
          <w:highlight w:val="none"/>
        </w:rPr>
        <w:t>9.1</w:t>
      </w:r>
      <w:r>
        <w:rPr>
          <w:rFonts w:hint="eastAsia" w:ascii="宋体" w:hAnsi="宋体" w:eastAsia="宋体"/>
          <w:b w:val="0"/>
          <w:bCs w:val="0"/>
          <w:color w:val="auto"/>
          <w:highlight w:val="none"/>
          <w:lang w:val="en-US" w:eastAsia="zh-CN"/>
        </w:rPr>
        <w:t>参</w:t>
      </w:r>
      <w:r>
        <w:rPr>
          <w:rFonts w:hint="eastAsia" w:ascii="宋体" w:hAnsi="宋体" w:eastAsia="宋体"/>
          <w:b w:val="0"/>
          <w:bCs w:val="0"/>
          <w:color w:val="auto"/>
          <w:highlight w:val="none"/>
          <w:lang w:eastAsia="zh-CN"/>
        </w:rPr>
        <w:t>选</w:t>
      </w:r>
      <w:r>
        <w:rPr>
          <w:rFonts w:hint="eastAsia" w:ascii="宋体" w:hAnsi="宋体" w:eastAsia="宋体"/>
          <w:b w:val="0"/>
          <w:bCs w:val="0"/>
          <w:color w:val="auto"/>
          <w:highlight w:val="none"/>
        </w:rPr>
        <w:t>文件的格式</w:t>
      </w:r>
    </w:p>
    <w:p w14:paraId="14D5E792">
      <w:pPr>
        <w:spacing w:line="348" w:lineRule="auto"/>
        <w:ind w:firstLine="420" w:firstLineChars="200"/>
        <w:rPr>
          <w:rFonts w:ascii="宋体" w:hAnsi="宋体" w:eastAsia="宋体"/>
          <w:b w:val="0"/>
          <w:bCs w:val="0"/>
          <w:color w:val="auto"/>
          <w:highlight w:val="none"/>
        </w:rPr>
      </w:pPr>
      <w:r>
        <w:rPr>
          <w:rFonts w:hint="eastAsia" w:ascii="宋体" w:hAnsi="宋体" w:eastAsia="宋体"/>
          <w:b w:val="0"/>
          <w:bCs w:val="0"/>
          <w:color w:val="auto"/>
          <w:highlight w:val="none"/>
          <w:lang w:val="en-US" w:eastAsia="zh-CN"/>
        </w:rPr>
        <w:t>参选</w:t>
      </w:r>
      <w:r>
        <w:rPr>
          <w:rFonts w:hint="eastAsia" w:ascii="宋体" w:hAnsi="宋体" w:eastAsia="宋体"/>
          <w:b w:val="0"/>
          <w:bCs w:val="0"/>
          <w:color w:val="auto"/>
          <w:highlight w:val="none"/>
        </w:rPr>
        <w:t>人须提交</w:t>
      </w:r>
      <w:r>
        <w:rPr>
          <w:rFonts w:hint="eastAsia" w:ascii="宋体" w:hAnsi="宋体" w:eastAsia="宋体"/>
          <w:b w:val="0"/>
          <w:bCs w:val="0"/>
          <w:color w:val="auto"/>
          <w:highlight w:val="none"/>
          <w:lang w:val="en-US" w:eastAsia="zh-CN"/>
        </w:rPr>
        <w:t>参选</w:t>
      </w:r>
      <w:r>
        <w:rPr>
          <w:rFonts w:hint="eastAsia" w:ascii="宋体" w:hAnsi="宋体" w:eastAsia="宋体"/>
          <w:b w:val="0"/>
          <w:bCs w:val="0"/>
          <w:color w:val="auto"/>
          <w:highlight w:val="none"/>
        </w:rPr>
        <w:t>文件五份（正本壹份，副本肆份），用A4幅面纸张打印装订成册，不得采用活页夹，密封完好并加盖公章。</w:t>
      </w:r>
    </w:p>
    <w:p w14:paraId="75796C2E">
      <w:pPr>
        <w:spacing w:line="348" w:lineRule="auto"/>
        <w:ind w:firstLine="420" w:firstLineChars="200"/>
        <w:rPr>
          <w:rFonts w:ascii="宋体" w:hAnsi="宋体" w:eastAsia="宋体"/>
          <w:b w:val="0"/>
          <w:bCs w:val="0"/>
          <w:color w:val="auto"/>
          <w:highlight w:val="none"/>
        </w:rPr>
      </w:pPr>
      <w:r>
        <w:rPr>
          <w:rFonts w:ascii="宋体" w:hAnsi="宋体" w:eastAsia="宋体"/>
          <w:b w:val="0"/>
          <w:bCs w:val="0"/>
          <w:color w:val="auto"/>
          <w:highlight w:val="none"/>
        </w:rPr>
        <w:t>9.2</w:t>
      </w:r>
      <w:r>
        <w:rPr>
          <w:rFonts w:hint="eastAsia" w:ascii="宋体" w:hAnsi="宋体" w:eastAsia="宋体"/>
          <w:b w:val="0"/>
          <w:bCs w:val="0"/>
          <w:color w:val="auto"/>
          <w:highlight w:val="none"/>
          <w:lang w:val="en-US" w:eastAsia="zh-CN"/>
        </w:rPr>
        <w:t>参选</w:t>
      </w:r>
      <w:r>
        <w:rPr>
          <w:rFonts w:hint="eastAsia" w:ascii="宋体" w:hAnsi="宋体" w:eastAsia="宋体"/>
          <w:b w:val="0"/>
          <w:bCs w:val="0"/>
          <w:color w:val="auto"/>
          <w:highlight w:val="none"/>
        </w:rPr>
        <w:t>报价</w:t>
      </w:r>
    </w:p>
    <w:p w14:paraId="750F369C">
      <w:pPr>
        <w:spacing w:line="348" w:lineRule="auto"/>
        <w:ind w:firstLine="420" w:firstLineChars="200"/>
        <w:contextualSpacing/>
        <w:rPr>
          <w:rFonts w:ascii="宋体" w:hAnsi="宋体" w:eastAsia="宋体"/>
          <w:b w:val="0"/>
          <w:bCs w:val="0"/>
          <w:color w:val="auto"/>
          <w:highlight w:val="none"/>
        </w:rPr>
      </w:pPr>
      <w:r>
        <w:rPr>
          <w:rFonts w:hint="eastAsia" w:ascii="宋体" w:hAnsi="宋体" w:eastAsia="宋体"/>
          <w:b w:val="0"/>
          <w:bCs w:val="0"/>
          <w:color w:val="auto"/>
          <w:highlight w:val="none"/>
        </w:rPr>
        <w:t>（1）</w:t>
      </w:r>
      <w:r>
        <w:rPr>
          <w:rFonts w:hint="eastAsia" w:ascii="宋体" w:hAnsi="宋体" w:eastAsia="宋体" w:cs="仿宋_GB2312"/>
          <w:b w:val="0"/>
          <w:bCs w:val="0"/>
          <w:color w:val="auto"/>
          <w:kern w:val="0"/>
          <w:highlight w:val="none"/>
        </w:rPr>
        <w:t>本项目实行固定单价合同方式，供货期限内单价不再调整，数量以实际供应结算。</w:t>
      </w:r>
    </w:p>
    <w:p w14:paraId="2B7677D7">
      <w:pPr>
        <w:pStyle w:val="53"/>
        <w:spacing w:line="348" w:lineRule="auto"/>
        <w:ind w:firstLine="420"/>
        <w:rPr>
          <w:rFonts w:ascii="宋体" w:hAnsi="宋体"/>
          <w:color w:val="auto"/>
          <w:highlight w:val="none"/>
        </w:rPr>
      </w:pPr>
      <w:r>
        <w:rPr>
          <w:rFonts w:hint="eastAsia" w:ascii="宋体" w:hAnsi="宋体"/>
          <w:color w:val="auto"/>
          <w:highlight w:val="none"/>
        </w:rPr>
        <w:t>（2）</w:t>
      </w:r>
      <w:r>
        <w:rPr>
          <w:rFonts w:hint="eastAsia" w:ascii="宋体" w:hAnsi="宋体"/>
          <w:color w:val="auto"/>
          <w:highlight w:val="none"/>
          <w:lang w:val="en-US" w:eastAsia="zh-CN"/>
        </w:rPr>
        <w:t>参选</w:t>
      </w:r>
      <w:r>
        <w:rPr>
          <w:rFonts w:hint="eastAsia" w:ascii="宋体" w:hAnsi="宋体"/>
          <w:color w:val="auto"/>
          <w:highlight w:val="none"/>
        </w:rPr>
        <w:t>人应</w:t>
      </w:r>
      <w:r>
        <w:rPr>
          <w:rFonts w:hint="eastAsia" w:ascii="宋体" w:hAnsi="宋体"/>
          <w:color w:val="auto"/>
          <w:highlight w:val="none"/>
          <w:lang w:eastAsia="zh-CN"/>
        </w:rPr>
        <w:t>按</w:t>
      </w:r>
      <w:r>
        <w:rPr>
          <w:rFonts w:hint="eastAsia" w:ascii="宋体" w:hAnsi="宋体"/>
          <w:color w:val="auto"/>
          <w:highlight w:val="none"/>
        </w:rPr>
        <w:t>招</w:t>
      </w:r>
      <w:r>
        <w:rPr>
          <w:rFonts w:hint="eastAsia" w:ascii="宋体" w:hAnsi="宋体"/>
          <w:color w:val="auto"/>
          <w:highlight w:val="none"/>
          <w:lang w:eastAsia="zh-CN"/>
        </w:rPr>
        <w:t>选</w:t>
      </w:r>
      <w:r>
        <w:rPr>
          <w:rFonts w:hint="eastAsia" w:ascii="宋体" w:hAnsi="宋体"/>
          <w:color w:val="auto"/>
          <w:highlight w:val="none"/>
        </w:rPr>
        <w:t>文件提供的“</w:t>
      </w:r>
      <w:r>
        <w:rPr>
          <w:rFonts w:hint="eastAsia" w:ascii="宋体" w:hAnsi="宋体"/>
          <w:color w:val="auto"/>
          <w:highlight w:val="none"/>
          <w:lang w:val="en-US" w:eastAsia="zh-CN"/>
        </w:rPr>
        <w:t>阀门采购</w:t>
      </w:r>
      <w:r>
        <w:rPr>
          <w:rFonts w:hint="eastAsia" w:ascii="宋体" w:hAnsi="宋体"/>
          <w:color w:val="auto"/>
          <w:highlight w:val="none"/>
        </w:rPr>
        <w:t>报价表”要求</w:t>
      </w:r>
      <w:r>
        <w:rPr>
          <w:rFonts w:hint="eastAsia" w:ascii="宋体" w:hAnsi="宋体"/>
          <w:color w:val="auto"/>
          <w:highlight w:val="none"/>
          <w:lang w:val="en-US" w:eastAsia="zh-CN"/>
        </w:rPr>
        <w:t>填写报价</w:t>
      </w:r>
      <w:r>
        <w:rPr>
          <w:rFonts w:hint="eastAsia" w:ascii="宋体" w:hAnsi="宋体"/>
          <w:color w:val="auto"/>
          <w:highlight w:val="none"/>
        </w:rPr>
        <w:t>。</w:t>
      </w:r>
    </w:p>
    <w:p w14:paraId="4B75FDBA">
      <w:pPr>
        <w:pStyle w:val="53"/>
        <w:spacing w:line="348" w:lineRule="auto"/>
        <w:ind w:firstLine="420"/>
        <w:rPr>
          <w:rFonts w:hint="eastAsia" w:ascii="宋体" w:hAnsi="宋体"/>
          <w:color w:val="auto"/>
          <w:highlight w:val="none"/>
        </w:rPr>
      </w:pPr>
      <w:r>
        <w:rPr>
          <w:rFonts w:hint="eastAsia" w:ascii="宋体" w:hAnsi="宋体"/>
          <w:color w:val="auto"/>
          <w:highlight w:val="none"/>
        </w:rPr>
        <w:t>（3）</w:t>
      </w:r>
      <w:r>
        <w:rPr>
          <w:rFonts w:hint="eastAsia" w:ascii="宋体" w:hAnsi="宋体"/>
          <w:color w:val="auto"/>
          <w:highlight w:val="none"/>
          <w:lang w:val="en-US" w:eastAsia="zh-CN"/>
        </w:rPr>
        <w:t>参</w:t>
      </w:r>
      <w:r>
        <w:rPr>
          <w:rFonts w:hint="eastAsia" w:ascii="宋体" w:hAnsi="宋体"/>
          <w:color w:val="auto"/>
          <w:highlight w:val="none"/>
          <w:lang w:eastAsia="zh-CN"/>
        </w:rPr>
        <w:t>选</w:t>
      </w:r>
      <w:r>
        <w:rPr>
          <w:rFonts w:hint="eastAsia" w:ascii="宋体" w:hAnsi="宋体"/>
          <w:color w:val="auto"/>
          <w:highlight w:val="none"/>
        </w:rPr>
        <w:t>人在</w:t>
      </w:r>
      <w:r>
        <w:rPr>
          <w:rFonts w:hint="eastAsia" w:ascii="宋体" w:hAnsi="宋体"/>
          <w:color w:val="auto"/>
          <w:highlight w:val="none"/>
          <w:lang w:val="en-US" w:eastAsia="zh-CN"/>
        </w:rPr>
        <w:t>参</w:t>
      </w:r>
      <w:r>
        <w:rPr>
          <w:rFonts w:hint="eastAsia" w:ascii="宋体" w:hAnsi="宋体"/>
          <w:color w:val="auto"/>
          <w:highlight w:val="none"/>
          <w:lang w:eastAsia="zh-CN"/>
        </w:rPr>
        <w:t>选</w:t>
      </w:r>
      <w:r>
        <w:rPr>
          <w:rFonts w:hint="eastAsia" w:ascii="宋体" w:hAnsi="宋体"/>
          <w:color w:val="auto"/>
          <w:highlight w:val="none"/>
        </w:rPr>
        <w:t>报价时应充分考虑所有风险费用。单价和合价</w:t>
      </w:r>
      <w:r>
        <w:rPr>
          <w:rFonts w:hint="eastAsia" w:ascii="宋体" w:hAnsi="宋体" w:cs="宋体"/>
          <w:color w:val="auto"/>
          <w:sz w:val="21"/>
          <w:szCs w:val="21"/>
          <w:highlight w:val="none"/>
        </w:rPr>
        <w:t>均已包含</w:t>
      </w:r>
      <w:r>
        <w:rPr>
          <w:rFonts w:hint="eastAsia" w:ascii="宋体" w:hAnsi="宋体" w:cs="宋体"/>
          <w:color w:val="auto"/>
          <w:sz w:val="21"/>
          <w:szCs w:val="21"/>
          <w:highlight w:val="none"/>
          <w:lang w:val="en-US" w:eastAsia="zh-CN"/>
        </w:rPr>
        <w:t>参选人完成供货所需</w:t>
      </w:r>
      <w:r>
        <w:rPr>
          <w:rFonts w:hint="eastAsia" w:ascii="宋体" w:hAnsi="宋体" w:cs="宋体"/>
          <w:color w:val="auto"/>
          <w:sz w:val="21"/>
          <w:szCs w:val="21"/>
          <w:highlight w:val="none"/>
        </w:rPr>
        <w:t>的人工费、材料费、运输费、装卸费、设备使用费、利润、税金（1</w:t>
      </w:r>
      <w:r>
        <w:rPr>
          <w:rFonts w:ascii="宋体" w:hAnsi="宋体" w:cs="宋体"/>
          <w:color w:val="auto"/>
          <w:sz w:val="21"/>
          <w:szCs w:val="21"/>
          <w:highlight w:val="none"/>
        </w:rPr>
        <w:t>3</w:t>
      </w: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电动阀配套的电动执行机构装置费等，</w:t>
      </w:r>
      <w:r>
        <w:rPr>
          <w:rFonts w:hint="eastAsia" w:ascii="宋体" w:hAnsi="宋体" w:cs="宋体"/>
          <w:color w:val="auto"/>
          <w:sz w:val="21"/>
          <w:szCs w:val="21"/>
          <w:highlight w:val="none"/>
        </w:rPr>
        <w:t>与供货有关的所有垃圾清运费、临时工程摊销、其他费用摊销等全部费用以及应由</w:t>
      </w:r>
      <w:r>
        <w:rPr>
          <w:rFonts w:hint="eastAsia" w:ascii="宋体" w:hAnsi="宋体" w:cs="宋体"/>
          <w:color w:val="auto"/>
          <w:sz w:val="21"/>
          <w:szCs w:val="21"/>
          <w:highlight w:val="none"/>
          <w:lang w:eastAsia="zh-CN"/>
        </w:rPr>
        <w:t>参选</w:t>
      </w:r>
      <w:r>
        <w:rPr>
          <w:rFonts w:hint="eastAsia" w:ascii="宋体" w:hAnsi="宋体" w:cs="宋体"/>
          <w:color w:val="auto"/>
          <w:sz w:val="21"/>
          <w:szCs w:val="21"/>
          <w:highlight w:val="none"/>
        </w:rPr>
        <w:t>人承担的风险（如运输安全、</w:t>
      </w:r>
      <w:r>
        <w:rPr>
          <w:rFonts w:hint="eastAsia" w:ascii="宋体" w:hAnsi="宋体" w:cs="宋体"/>
          <w:color w:val="auto"/>
          <w:sz w:val="21"/>
          <w:szCs w:val="21"/>
          <w:highlight w:val="none"/>
          <w:lang w:val="en-US" w:eastAsia="zh-CN"/>
        </w:rPr>
        <w:t>配件</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材料上涨等）、义务和责任所发生的一切费用。</w:t>
      </w:r>
    </w:p>
    <w:p w14:paraId="3DE5B59B">
      <w:pPr>
        <w:tabs>
          <w:tab w:val="left" w:pos="930"/>
        </w:tabs>
        <w:spacing w:line="360" w:lineRule="auto"/>
        <w:ind w:firstLine="420" w:firstLineChars="200"/>
        <w:rPr>
          <w:rFonts w:hint="eastAsia" w:ascii="宋体" w:hAnsi="宋体" w:eastAsia="宋体" w:cs="宋体"/>
          <w:b w:val="0"/>
          <w:bCs/>
          <w:color w:val="auto"/>
          <w:kern w:val="0"/>
          <w:szCs w:val="21"/>
          <w:highlight w:val="none"/>
        </w:rPr>
      </w:pPr>
      <w:r>
        <w:rPr>
          <w:rFonts w:hint="eastAsia" w:ascii="宋体" w:hAnsi="宋体" w:eastAsia="宋体"/>
          <w:b w:val="0"/>
          <w:bCs/>
          <w:color w:val="auto"/>
          <w:szCs w:val="21"/>
          <w:highlight w:val="none"/>
        </w:rPr>
        <w:t>（4）</w:t>
      </w:r>
      <w:r>
        <w:rPr>
          <w:rFonts w:hint="eastAsia" w:ascii="宋体" w:hAnsi="宋体" w:eastAsia="宋体" w:cs="仿宋_GB2312"/>
          <w:b w:val="0"/>
          <w:bCs/>
          <w:color w:val="auto"/>
          <w:kern w:val="0"/>
          <w:highlight w:val="none"/>
        </w:rPr>
        <w:t>本项目</w:t>
      </w:r>
      <w:r>
        <w:rPr>
          <w:rFonts w:hint="eastAsia" w:ascii="宋体" w:hAnsi="宋体" w:eastAsia="宋体" w:cs="宋体"/>
          <w:b w:val="0"/>
          <w:bCs/>
          <w:color w:val="auto"/>
          <w:kern w:val="0"/>
          <w:szCs w:val="21"/>
          <w:highlight w:val="none"/>
        </w:rPr>
        <w:t>最高控制价A</w:t>
      </w:r>
      <w:r>
        <w:rPr>
          <w:rFonts w:ascii="宋体" w:hAnsi="宋体" w:eastAsia="宋体" w:cs="宋体"/>
          <w:b w:val="0"/>
          <w:bCs/>
          <w:color w:val="auto"/>
          <w:kern w:val="0"/>
          <w:szCs w:val="21"/>
          <w:highlight w:val="none"/>
        </w:rPr>
        <w:t>=</w:t>
      </w:r>
      <w:r>
        <w:rPr>
          <w:rFonts w:hint="eastAsia" w:ascii="宋体" w:hAnsi="宋体" w:eastAsia="宋体" w:cs="宋体"/>
          <w:b w:val="0"/>
          <w:bCs/>
          <w:color w:val="auto"/>
          <w:kern w:val="0"/>
          <w:szCs w:val="21"/>
          <w:highlight w:val="none"/>
        </w:rPr>
        <w:t>22700000元。</w:t>
      </w:r>
    </w:p>
    <w:p w14:paraId="74AB2C8D">
      <w:pPr>
        <w:tabs>
          <w:tab w:val="left" w:pos="930"/>
        </w:tabs>
        <w:spacing w:line="360" w:lineRule="auto"/>
        <w:ind w:firstLine="420" w:firstLineChars="200"/>
        <w:rPr>
          <w:rFonts w:ascii="宋体" w:hAnsi="宋体" w:eastAsia="宋体" w:cstheme="minorEastAsia"/>
          <w:b w:val="0"/>
          <w:bCs/>
          <w:color w:val="auto"/>
          <w:sz w:val="21"/>
          <w:szCs w:val="21"/>
          <w:highlight w:val="none"/>
        </w:rPr>
      </w:pPr>
      <w:r>
        <w:rPr>
          <w:rFonts w:hint="eastAsia" w:ascii="宋体" w:hAnsi="宋体" w:eastAsia="宋体" w:cstheme="minorEastAsia"/>
          <w:b w:val="0"/>
          <w:bCs/>
          <w:color w:val="auto"/>
          <w:sz w:val="21"/>
          <w:szCs w:val="21"/>
          <w:highlight w:val="none"/>
        </w:rPr>
        <w:t>（5）电动执行机构均采用国际知名原装进口品牌，采用罗托克</w:t>
      </w:r>
      <w:r>
        <w:rPr>
          <w:rFonts w:hint="eastAsia" w:ascii="宋体" w:hAnsi="宋体" w:eastAsia="宋体" w:cstheme="minorEastAsia"/>
          <w:b w:val="0"/>
          <w:bCs/>
          <w:color w:val="auto"/>
          <w:sz w:val="21"/>
          <w:szCs w:val="21"/>
          <w:highlight w:val="none"/>
          <w:lang w:eastAsia="zh-CN"/>
        </w:rPr>
        <w:t>（</w:t>
      </w:r>
      <w:r>
        <w:rPr>
          <w:rFonts w:hint="eastAsia" w:ascii="宋体" w:hAnsi="宋体" w:eastAsia="宋体" w:cstheme="minorEastAsia"/>
          <w:b w:val="0"/>
          <w:bCs/>
          <w:color w:val="auto"/>
          <w:sz w:val="21"/>
          <w:szCs w:val="21"/>
          <w:highlight w:val="none"/>
        </w:rPr>
        <w:t>ROTORK</w:t>
      </w:r>
      <w:r>
        <w:rPr>
          <w:rFonts w:hint="eastAsia" w:ascii="宋体" w:hAnsi="宋体" w:eastAsia="宋体" w:cstheme="minorEastAsia"/>
          <w:b w:val="0"/>
          <w:bCs/>
          <w:color w:val="auto"/>
          <w:sz w:val="21"/>
          <w:szCs w:val="21"/>
          <w:highlight w:val="none"/>
          <w:lang w:eastAsia="zh-CN"/>
        </w:rPr>
        <w:t>）</w:t>
      </w:r>
      <w:r>
        <w:rPr>
          <w:rFonts w:hint="eastAsia" w:ascii="宋体" w:hAnsi="宋体" w:eastAsia="宋体" w:cstheme="minorEastAsia"/>
          <w:b w:val="0"/>
          <w:bCs/>
          <w:color w:val="auto"/>
          <w:sz w:val="21"/>
          <w:szCs w:val="21"/>
          <w:highlight w:val="none"/>
        </w:rPr>
        <w:t>、乔登（JORDAN）、瑞典RC（REMOTE CONTROL）品牌的产品，电动执行机构与齿轮箱必须同一品牌，并提供授权书和原产地证明。</w:t>
      </w:r>
      <w:r>
        <w:rPr>
          <w:b w:val="0"/>
          <w:bCs/>
          <w:color w:val="auto"/>
          <w:sz w:val="21"/>
          <w:szCs w:val="21"/>
          <w:highlight w:val="none"/>
        </w:rPr>
        <w:t>履约期间，</w:t>
      </w:r>
      <w:r>
        <w:rPr>
          <w:rFonts w:hint="eastAsia"/>
          <w:b w:val="0"/>
          <w:bCs/>
          <w:color w:val="auto"/>
          <w:sz w:val="21"/>
          <w:szCs w:val="21"/>
          <w:highlight w:val="none"/>
          <w:lang w:val="en-US" w:eastAsia="zh-CN"/>
        </w:rPr>
        <w:t>若业主</w:t>
      </w:r>
      <w:r>
        <w:rPr>
          <w:b w:val="0"/>
          <w:bCs/>
          <w:color w:val="auto"/>
          <w:sz w:val="21"/>
          <w:szCs w:val="21"/>
          <w:highlight w:val="none"/>
        </w:rPr>
        <w:t>方因成本统筹</w:t>
      </w:r>
      <w:r>
        <w:rPr>
          <w:rFonts w:hint="eastAsia"/>
          <w:b w:val="0"/>
          <w:bCs/>
          <w:color w:val="auto"/>
          <w:sz w:val="21"/>
          <w:szCs w:val="21"/>
          <w:highlight w:val="none"/>
          <w:lang w:eastAsia="zh-CN"/>
        </w:rPr>
        <w:t>、</w:t>
      </w:r>
      <w:r>
        <w:rPr>
          <w:rFonts w:hint="eastAsia"/>
          <w:b w:val="0"/>
          <w:bCs/>
          <w:color w:val="auto"/>
          <w:sz w:val="21"/>
          <w:szCs w:val="21"/>
          <w:highlight w:val="none"/>
          <w:lang w:val="en-US" w:eastAsia="zh-CN"/>
        </w:rPr>
        <w:t>业务</w:t>
      </w:r>
      <w:r>
        <w:rPr>
          <w:b w:val="0"/>
          <w:bCs/>
          <w:color w:val="auto"/>
          <w:sz w:val="21"/>
          <w:szCs w:val="21"/>
          <w:highlight w:val="none"/>
        </w:rPr>
        <w:t>需求</w:t>
      </w:r>
      <w:r>
        <w:rPr>
          <w:rFonts w:hint="eastAsia"/>
          <w:b w:val="0"/>
          <w:bCs/>
          <w:color w:val="auto"/>
          <w:sz w:val="21"/>
          <w:szCs w:val="21"/>
          <w:highlight w:val="none"/>
          <w:lang w:val="en-US" w:eastAsia="zh-CN"/>
        </w:rPr>
        <w:t>要求</w:t>
      </w:r>
      <w:r>
        <w:rPr>
          <w:b w:val="0"/>
          <w:bCs/>
          <w:color w:val="auto"/>
          <w:sz w:val="21"/>
          <w:szCs w:val="21"/>
          <w:highlight w:val="none"/>
        </w:rPr>
        <w:t>更换</w:t>
      </w:r>
      <w:r>
        <w:rPr>
          <w:rFonts w:hint="eastAsia"/>
          <w:b w:val="0"/>
          <w:bCs/>
          <w:color w:val="auto"/>
          <w:sz w:val="21"/>
          <w:szCs w:val="21"/>
          <w:highlight w:val="none"/>
          <w:lang w:val="en-US" w:eastAsia="zh-CN"/>
        </w:rPr>
        <w:t>电动执行机构品牌的</w:t>
      </w:r>
      <w:r>
        <w:rPr>
          <w:b w:val="0"/>
          <w:bCs/>
          <w:color w:val="auto"/>
          <w:sz w:val="21"/>
          <w:szCs w:val="21"/>
          <w:highlight w:val="none"/>
        </w:rPr>
        <w:t>，</w:t>
      </w:r>
      <w:r>
        <w:rPr>
          <w:rFonts w:hint="eastAsia"/>
          <w:b w:val="0"/>
          <w:bCs/>
          <w:color w:val="auto"/>
          <w:sz w:val="21"/>
          <w:szCs w:val="21"/>
          <w:highlight w:val="none"/>
          <w:lang w:val="en-US" w:eastAsia="zh-CN"/>
        </w:rPr>
        <w:t>中选人应按要求无条件执行，</w:t>
      </w:r>
      <w:r>
        <w:rPr>
          <w:rFonts w:ascii="宋体" w:hAnsi="宋体" w:eastAsia="宋体" w:cs="宋体"/>
          <w:b w:val="0"/>
          <w:bCs/>
          <w:color w:val="auto"/>
          <w:sz w:val="21"/>
          <w:szCs w:val="21"/>
          <w:highlight w:val="none"/>
        </w:rPr>
        <w:t>具体</w:t>
      </w:r>
      <w:r>
        <w:rPr>
          <w:rFonts w:hint="eastAsia" w:ascii="宋体" w:hAnsi="宋体" w:eastAsia="宋体" w:cs="宋体"/>
          <w:b w:val="0"/>
          <w:bCs/>
          <w:color w:val="auto"/>
          <w:sz w:val="21"/>
          <w:szCs w:val="21"/>
          <w:highlight w:val="none"/>
          <w:lang w:val="en-US" w:eastAsia="zh-CN"/>
        </w:rPr>
        <w:t>调整</w:t>
      </w:r>
      <w:r>
        <w:rPr>
          <w:rFonts w:ascii="宋体" w:hAnsi="宋体" w:eastAsia="宋体" w:cs="宋体"/>
          <w:b w:val="0"/>
          <w:bCs/>
          <w:color w:val="auto"/>
          <w:sz w:val="21"/>
          <w:szCs w:val="21"/>
          <w:highlight w:val="none"/>
        </w:rPr>
        <w:t>金额由双方</w:t>
      </w:r>
      <w:r>
        <w:rPr>
          <w:rFonts w:hint="eastAsia" w:ascii="宋体" w:hAnsi="宋体" w:eastAsia="宋体" w:cs="宋体"/>
          <w:b w:val="0"/>
          <w:bCs/>
          <w:color w:val="auto"/>
          <w:sz w:val="21"/>
          <w:szCs w:val="21"/>
          <w:highlight w:val="none"/>
          <w:lang w:val="en-US" w:eastAsia="zh-CN"/>
        </w:rPr>
        <w:t>协商</w:t>
      </w:r>
      <w:r>
        <w:rPr>
          <w:rFonts w:ascii="宋体" w:hAnsi="宋体" w:eastAsia="宋体" w:cs="宋体"/>
          <w:b w:val="0"/>
          <w:bCs/>
          <w:color w:val="auto"/>
          <w:sz w:val="21"/>
          <w:szCs w:val="21"/>
          <w:highlight w:val="none"/>
        </w:rPr>
        <w:t>确定</w:t>
      </w:r>
      <w:r>
        <w:rPr>
          <w:rFonts w:hint="eastAsia" w:ascii="宋体" w:hAnsi="宋体" w:eastAsia="宋体" w:cs="宋体"/>
          <w:b w:val="0"/>
          <w:bCs/>
          <w:color w:val="auto"/>
          <w:sz w:val="21"/>
          <w:szCs w:val="21"/>
          <w:highlight w:val="none"/>
          <w:lang w:eastAsia="zh-CN"/>
        </w:rPr>
        <w:t>。</w:t>
      </w:r>
    </w:p>
    <w:p w14:paraId="29890CD4">
      <w:pPr>
        <w:spacing w:line="348" w:lineRule="auto"/>
        <w:ind w:firstLine="420" w:firstLineChars="200"/>
        <w:rPr>
          <w:rFonts w:ascii="宋体" w:hAnsi="宋体" w:eastAsia="宋体" w:cstheme="minorEastAsia"/>
          <w:b w:val="0"/>
          <w:bCs/>
          <w:color w:val="auto"/>
          <w:szCs w:val="21"/>
          <w:highlight w:val="none"/>
        </w:rPr>
      </w:pPr>
      <w:r>
        <w:rPr>
          <w:rFonts w:hint="eastAsia" w:ascii="宋体" w:hAnsi="宋体" w:eastAsia="宋体" w:cstheme="minorEastAsia"/>
          <w:b w:val="0"/>
          <w:bCs/>
          <w:color w:val="auto"/>
          <w:szCs w:val="21"/>
          <w:highlight w:val="none"/>
        </w:rPr>
        <w:t>（6）所有阀门类报价需包含法兰、螺栓、螺母、垫片的报价；</w:t>
      </w:r>
    </w:p>
    <w:p w14:paraId="2DF2025A">
      <w:pPr>
        <w:spacing w:line="348" w:lineRule="auto"/>
        <w:ind w:firstLine="420" w:firstLineChars="200"/>
        <w:rPr>
          <w:rFonts w:hint="eastAsia" w:eastAsia="宋体"/>
          <w:b w:val="0"/>
          <w:bCs/>
          <w:color w:val="auto"/>
          <w:sz w:val="21"/>
          <w:szCs w:val="21"/>
          <w:highlight w:val="none"/>
          <w:lang w:eastAsia="zh-CN"/>
        </w:rPr>
      </w:pPr>
      <w:r>
        <w:rPr>
          <w:rFonts w:hint="eastAsia" w:ascii="宋体" w:hAnsi="宋体" w:eastAsia="宋体" w:cstheme="minorEastAsia"/>
          <w:b w:val="0"/>
          <w:bCs/>
          <w:color w:val="auto"/>
          <w:szCs w:val="21"/>
          <w:highlight w:val="none"/>
        </w:rPr>
        <w:t>（7）蝶阀为双法兰连接、双偏心软密封结构，采用电手动操作，立式（或卧式）安装（以施工图为准）。</w:t>
      </w:r>
    </w:p>
    <w:p w14:paraId="754A8EA7">
      <w:pPr>
        <w:pStyle w:val="36"/>
        <w:jc w:val="both"/>
        <w:rPr>
          <w:rFonts w:hint="default" w:eastAsiaTheme="minorEastAsia"/>
          <w:color w:val="auto"/>
          <w:sz w:val="21"/>
          <w:szCs w:val="21"/>
          <w:highlight w:val="none"/>
          <w:lang w:val="en-US" w:eastAsia="zh-CN"/>
        </w:rPr>
      </w:pPr>
      <w:r>
        <w:rPr>
          <w:rFonts w:hint="eastAsia"/>
          <w:color w:val="auto"/>
          <w:sz w:val="21"/>
          <w:szCs w:val="21"/>
          <w:highlight w:val="none"/>
          <w:lang w:val="en-US" w:eastAsia="zh-CN"/>
        </w:rPr>
        <w:t>附表一：                           采购清单控制价表</w:t>
      </w:r>
    </w:p>
    <w:tbl>
      <w:tblPr>
        <w:tblStyle w:val="31"/>
        <w:tblW w:w="8662" w:type="dxa"/>
        <w:tblInd w:w="93" w:type="dxa"/>
        <w:tblLayout w:type="fixed"/>
        <w:tblCellMar>
          <w:top w:w="0" w:type="dxa"/>
          <w:left w:w="108" w:type="dxa"/>
          <w:bottom w:w="0" w:type="dxa"/>
          <w:right w:w="108" w:type="dxa"/>
        </w:tblCellMar>
      </w:tblPr>
      <w:tblGrid>
        <w:gridCol w:w="724"/>
        <w:gridCol w:w="1559"/>
        <w:gridCol w:w="2268"/>
        <w:gridCol w:w="709"/>
        <w:gridCol w:w="851"/>
        <w:gridCol w:w="1134"/>
        <w:gridCol w:w="1417"/>
      </w:tblGrid>
      <w:tr w14:paraId="730103CE">
        <w:tblPrEx>
          <w:tblCellMar>
            <w:top w:w="0" w:type="dxa"/>
            <w:left w:w="108" w:type="dxa"/>
            <w:bottom w:w="0" w:type="dxa"/>
            <w:right w:w="108" w:type="dxa"/>
          </w:tblCellMar>
        </w:tblPrEx>
        <w:trPr>
          <w:trHeight w:val="591"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D964F0">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序号</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F6EB30E">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产品名称</w:t>
            </w:r>
          </w:p>
        </w:tc>
        <w:tc>
          <w:tcPr>
            <w:tcW w:w="2268" w:type="dxa"/>
            <w:tcBorders>
              <w:top w:val="single" w:color="auto" w:sz="4" w:space="0"/>
              <w:left w:val="nil"/>
              <w:bottom w:val="single" w:color="auto" w:sz="4" w:space="0"/>
              <w:right w:val="single" w:color="auto" w:sz="4" w:space="0"/>
            </w:tcBorders>
            <w:shd w:val="clear" w:color="auto" w:fill="auto"/>
            <w:noWrap/>
            <w:vAlign w:val="center"/>
          </w:tcPr>
          <w:p w14:paraId="5F43B046">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规格型号</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7CCBA4A7">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计量单位</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51A0539B">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数量</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03483A66">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控制单价</w:t>
            </w:r>
          </w:p>
          <w:p w14:paraId="4F3E6814">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（元）</w:t>
            </w:r>
          </w:p>
        </w:tc>
        <w:tc>
          <w:tcPr>
            <w:tcW w:w="1417" w:type="dxa"/>
            <w:tcBorders>
              <w:top w:val="single" w:color="auto" w:sz="4" w:space="0"/>
              <w:left w:val="nil"/>
              <w:bottom w:val="single" w:color="auto" w:sz="4" w:space="0"/>
              <w:right w:val="single" w:color="auto" w:sz="4" w:space="0"/>
            </w:tcBorders>
            <w:shd w:val="clear" w:color="auto" w:fill="auto"/>
            <w:noWrap/>
            <w:vAlign w:val="center"/>
          </w:tcPr>
          <w:p w14:paraId="3FD55EB9">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控制总价</w:t>
            </w:r>
          </w:p>
          <w:p w14:paraId="2C02241F">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（元）</w:t>
            </w:r>
          </w:p>
        </w:tc>
      </w:tr>
      <w:tr w14:paraId="550C7260">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248C19A">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1559" w:type="dxa"/>
            <w:tcBorders>
              <w:top w:val="nil"/>
              <w:left w:val="nil"/>
              <w:bottom w:val="single" w:color="auto" w:sz="4" w:space="0"/>
              <w:right w:val="single" w:color="auto" w:sz="4" w:space="0"/>
            </w:tcBorders>
            <w:shd w:val="clear" w:color="auto" w:fill="auto"/>
            <w:noWrap/>
            <w:vAlign w:val="center"/>
          </w:tcPr>
          <w:p w14:paraId="63E2B90F">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蝶阀</w:t>
            </w:r>
          </w:p>
        </w:tc>
        <w:tc>
          <w:tcPr>
            <w:tcW w:w="2268" w:type="dxa"/>
            <w:tcBorders>
              <w:top w:val="nil"/>
              <w:left w:val="nil"/>
              <w:bottom w:val="single" w:color="auto" w:sz="4" w:space="0"/>
              <w:right w:val="single" w:color="auto" w:sz="4" w:space="0"/>
            </w:tcBorders>
            <w:shd w:val="clear" w:color="auto" w:fill="auto"/>
            <w:vAlign w:val="center"/>
          </w:tcPr>
          <w:p w14:paraId="177B3CA9">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 Dd942X-10,DN=2800</w:t>
            </w:r>
          </w:p>
        </w:tc>
        <w:tc>
          <w:tcPr>
            <w:tcW w:w="709" w:type="dxa"/>
            <w:tcBorders>
              <w:top w:val="nil"/>
              <w:left w:val="nil"/>
              <w:bottom w:val="single" w:color="auto" w:sz="4" w:space="0"/>
              <w:right w:val="single" w:color="auto" w:sz="4" w:space="0"/>
            </w:tcBorders>
            <w:shd w:val="clear" w:color="auto" w:fill="auto"/>
            <w:noWrap/>
            <w:vAlign w:val="center"/>
          </w:tcPr>
          <w:p w14:paraId="35A03822">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2B416FE7">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19</w:t>
            </w:r>
          </w:p>
        </w:tc>
        <w:tc>
          <w:tcPr>
            <w:tcW w:w="1134" w:type="dxa"/>
            <w:tcBorders>
              <w:top w:val="nil"/>
              <w:left w:val="nil"/>
              <w:bottom w:val="single" w:color="auto" w:sz="4" w:space="0"/>
              <w:right w:val="single" w:color="auto" w:sz="4" w:space="0"/>
            </w:tcBorders>
            <w:shd w:val="clear" w:color="000000" w:fill="FFFFFF"/>
            <w:noWrap/>
            <w:vAlign w:val="center"/>
          </w:tcPr>
          <w:p w14:paraId="1DF46198">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770975 </w:t>
            </w:r>
          </w:p>
        </w:tc>
        <w:tc>
          <w:tcPr>
            <w:tcW w:w="1417" w:type="dxa"/>
            <w:tcBorders>
              <w:top w:val="nil"/>
              <w:left w:val="nil"/>
              <w:bottom w:val="single" w:color="auto" w:sz="4" w:space="0"/>
              <w:right w:val="single" w:color="auto" w:sz="4" w:space="0"/>
            </w:tcBorders>
            <w:shd w:val="clear" w:color="auto" w:fill="auto"/>
            <w:noWrap/>
            <w:vAlign w:val="center"/>
          </w:tcPr>
          <w:p w14:paraId="148BCBB3">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14648521 </w:t>
            </w:r>
          </w:p>
        </w:tc>
      </w:tr>
      <w:tr w14:paraId="2CBEE123">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87B35C4">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1559" w:type="dxa"/>
            <w:tcBorders>
              <w:top w:val="nil"/>
              <w:left w:val="nil"/>
              <w:bottom w:val="single" w:color="auto" w:sz="4" w:space="0"/>
              <w:right w:val="single" w:color="auto" w:sz="4" w:space="0"/>
            </w:tcBorders>
            <w:shd w:val="clear" w:color="auto" w:fill="auto"/>
            <w:noWrap/>
            <w:vAlign w:val="center"/>
          </w:tcPr>
          <w:p w14:paraId="3D6AE94E">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蝶阀</w:t>
            </w:r>
          </w:p>
        </w:tc>
        <w:tc>
          <w:tcPr>
            <w:tcW w:w="2268" w:type="dxa"/>
            <w:tcBorders>
              <w:top w:val="nil"/>
              <w:left w:val="nil"/>
              <w:bottom w:val="single" w:color="auto" w:sz="4" w:space="0"/>
              <w:right w:val="single" w:color="auto" w:sz="4" w:space="0"/>
            </w:tcBorders>
            <w:shd w:val="clear" w:color="auto" w:fill="auto"/>
            <w:vAlign w:val="center"/>
          </w:tcPr>
          <w:p w14:paraId="2D3CCD5F">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 Dd942X-10,DN=1200</w:t>
            </w:r>
          </w:p>
        </w:tc>
        <w:tc>
          <w:tcPr>
            <w:tcW w:w="709" w:type="dxa"/>
            <w:tcBorders>
              <w:top w:val="nil"/>
              <w:left w:val="nil"/>
              <w:bottom w:val="single" w:color="auto" w:sz="4" w:space="0"/>
              <w:right w:val="single" w:color="auto" w:sz="4" w:space="0"/>
            </w:tcBorders>
            <w:shd w:val="clear" w:color="auto" w:fill="auto"/>
            <w:noWrap/>
            <w:vAlign w:val="center"/>
          </w:tcPr>
          <w:p w14:paraId="2AAB1C08">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4FCAD1B0">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1134" w:type="dxa"/>
            <w:tcBorders>
              <w:top w:val="nil"/>
              <w:left w:val="nil"/>
              <w:bottom w:val="single" w:color="auto" w:sz="4" w:space="0"/>
              <w:right w:val="single" w:color="auto" w:sz="4" w:space="0"/>
            </w:tcBorders>
            <w:shd w:val="clear" w:color="000000" w:fill="FFFFFF"/>
            <w:noWrap/>
            <w:vAlign w:val="center"/>
          </w:tcPr>
          <w:p w14:paraId="7C1F0945">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107973 </w:t>
            </w:r>
          </w:p>
        </w:tc>
        <w:tc>
          <w:tcPr>
            <w:tcW w:w="1417" w:type="dxa"/>
            <w:tcBorders>
              <w:top w:val="nil"/>
              <w:left w:val="nil"/>
              <w:bottom w:val="single" w:color="auto" w:sz="4" w:space="0"/>
              <w:right w:val="single" w:color="auto" w:sz="4" w:space="0"/>
            </w:tcBorders>
            <w:shd w:val="clear" w:color="auto" w:fill="auto"/>
            <w:noWrap/>
            <w:vAlign w:val="center"/>
          </w:tcPr>
          <w:p w14:paraId="4386988F">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431894 </w:t>
            </w:r>
          </w:p>
        </w:tc>
      </w:tr>
      <w:tr w14:paraId="52E3BE9B">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EBE4941">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1559" w:type="dxa"/>
            <w:tcBorders>
              <w:top w:val="nil"/>
              <w:left w:val="nil"/>
              <w:bottom w:val="single" w:color="auto" w:sz="4" w:space="0"/>
              <w:right w:val="single" w:color="auto" w:sz="4" w:space="0"/>
            </w:tcBorders>
            <w:shd w:val="clear" w:color="auto" w:fill="auto"/>
            <w:noWrap/>
            <w:vAlign w:val="center"/>
          </w:tcPr>
          <w:p w14:paraId="73321EC5">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蝶阀</w:t>
            </w:r>
          </w:p>
        </w:tc>
        <w:tc>
          <w:tcPr>
            <w:tcW w:w="2268" w:type="dxa"/>
            <w:tcBorders>
              <w:top w:val="nil"/>
              <w:left w:val="nil"/>
              <w:bottom w:val="single" w:color="auto" w:sz="4" w:space="0"/>
              <w:right w:val="single" w:color="auto" w:sz="4" w:space="0"/>
            </w:tcBorders>
            <w:shd w:val="clear" w:color="auto" w:fill="auto"/>
            <w:vAlign w:val="center"/>
          </w:tcPr>
          <w:p w14:paraId="5EC4F444">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Dd942X-10,DN=400</w:t>
            </w:r>
          </w:p>
        </w:tc>
        <w:tc>
          <w:tcPr>
            <w:tcW w:w="709" w:type="dxa"/>
            <w:tcBorders>
              <w:top w:val="nil"/>
              <w:left w:val="nil"/>
              <w:bottom w:val="single" w:color="auto" w:sz="4" w:space="0"/>
              <w:right w:val="single" w:color="auto" w:sz="4" w:space="0"/>
            </w:tcBorders>
            <w:shd w:val="clear" w:color="auto" w:fill="auto"/>
            <w:noWrap/>
            <w:vAlign w:val="center"/>
          </w:tcPr>
          <w:p w14:paraId="1F724685">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40A3F73E">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1134" w:type="dxa"/>
            <w:tcBorders>
              <w:top w:val="nil"/>
              <w:left w:val="nil"/>
              <w:bottom w:val="single" w:color="auto" w:sz="4" w:space="0"/>
              <w:right w:val="single" w:color="auto" w:sz="4" w:space="0"/>
            </w:tcBorders>
            <w:shd w:val="clear" w:color="000000" w:fill="FFFFFF"/>
            <w:noWrap/>
            <w:vAlign w:val="center"/>
          </w:tcPr>
          <w:p w14:paraId="7F9B3CDF">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39484 </w:t>
            </w:r>
          </w:p>
        </w:tc>
        <w:tc>
          <w:tcPr>
            <w:tcW w:w="1417" w:type="dxa"/>
            <w:tcBorders>
              <w:top w:val="nil"/>
              <w:left w:val="nil"/>
              <w:bottom w:val="single" w:color="auto" w:sz="4" w:space="0"/>
              <w:right w:val="single" w:color="auto" w:sz="4" w:space="0"/>
            </w:tcBorders>
            <w:shd w:val="clear" w:color="auto" w:fill="auto"/>
            <w:noWrap/>
            <w:vAlign w:val="center"/>
          </w:tcPr>
          <w:p w14:paraId="110734FC">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39484 </w:t>
            </w:r>
          </w:p>
        </w:tc>
      </w:tr>
      <w:tr w14:paraId="5815F5D2">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02468C5">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1559" w:type="dxa"/>
            <w:tcBorders>
              <w:top w:val="nil"/>
              <w:left w:val="nil"/>
              <w:bottom w:val="single" w:color="auto" w:sz="4" w:space="0"/>
              <w:right w:val="single" w:color="auto" w:sz="4" w:space="0"/>
            </w:tcBorders>
            <w:shd w:val="clear" w:color="auto" w:fill="auto"/>
            <w:noWrap/>
            <w:vAlign w:val="center"/>
          </w:tcPr>
          <w:p w14:paraId="7D751E34">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闸阀</w:t>
            </w:r>
          </w:p>
        </w:tc>
        <w:tc>
          <w:tcPr>
            <w:tcW w:w="2268" w:type="dxa"/>
            <w:tcBorders>
              <w:top w:val="nil"/>
              <w:left w:val="nil"/>
              <w:bottom w:val="single" w:color="auto" w:sz="4" w:space="0"/>
              <w:right w:val="single" w:color="auto" w:sz="4" w:space="0"/>
            </w:tcBorders>
            <w:shd w:val="clear" w:color="auto" w:fill="auto"/>
            <w:vAlign w:val="center"/>
          </w:tcPr>
          <w:p w14:paraId="3743C90A">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 Z45X-10,DN=150</w:t>
            </w:r>
          </w:p>
        </w:tc>
        <w:tc>
          <w:tcPr>
            <w:tcW w:w="709" w:type="dxa"/>
            <w:tcBorders>
              <w:top w:val="nil"/>
              <w:left w:val="nil"/>
              <w:bottom w:val="single" w:color="auto" w:sz="4" w:space="0"/>
              <w:right w:val="single" w:color="auto" w:sz="4" w:space="0"/>
            </w:tcBorders>
            <w:shd w:val="clear" w:color="auto" w:fill="auto"/>
            <w:noWrap/>
            <w:vAlign w:val="center"/>
          </w:tcPr>
          <w:p w14:paraId="0F1C6769">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62C7FBF5">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19</w:t>
            </w:r>
          </w:p>
        </w:tc>
        <w:tc>
          <w:tcPr>
            <w:tcW w:w="1134" w:type="dxa"/>
            <w:tcBorders>
              <w:top w:val="nil"/>
              <w:left w:val="nil"/>
              <w:bottom w:val="single" w:color="auto" w:sz="4" w:space="0"/>
              <w:right w:val="single" w:color="auto" w:sz="4" w:space="0"/>
            </w:tcBorders>
            <w:shd w:val="clear" w:color="000000" w:fill="FFFFFF"/>
            <w:noWrap/>
            <w:vAlign w:val="center"/>
          </w:tcPr>
          <w:p w14:paraId="6147565F">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1205 </w:t>
            </w:r>
          </w:p>
        </w:tc>
        <w:tc>
          <w:tcPr>
            <w:tcW w:w="1417" w:type="dxa"/>
            <w:tcBorders>
              <w:top w:val="nil"/>
              <w:left w:val="nil"/>
              <w:bottom w:val="single" w:color="auto" w:sz="4" w:space="0"/>
              <w:right w:val="single" w:color="auto" w:sz="4" w:space="0"/>
            </w:tcBorders>
            <w:shd w:val="clear" w:color="auto" w:fill="auto"/>
            <w:noWrap/>
            <w:vAlign w:val="center"/>
          </w:tcPr>
          <w:p w14:paraId="378775F7">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22899 </w:t>
            </w:r>
          </w:p>
        </w:tc>
      </w:tr>
      <w:tr w14:paraId="1B5240BD">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B6D8042">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w:t>
            </w:r>
          </w:p>
        </w:tc>
        <w:tc>
          <w:tcPr>
            <w:tcW w:w="1559" w:type="dxa"/>
            <w:tcBorders>
              <w:top w:val="nil"/>
              <w:left w:val="nil"/>
              <w:bottom w:val="single" w:color="auto" w:sz="4" w:space="0"/>
              <w:right w:val="single" w:color="auto" w:sz="4" w:space="0"/>
            </w:tcBorders>
            <w:shd w:val="clear" w:color="auto" w:fill="auto"/>
            <w:noWrap/>
            <w:vAlign w:val="center"/>
          </w:tcPr>
          <w:p w14:paraId="37D96462">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闸阀</w:t>
            </w:r>
          </w:p>
        </w:tc>
        <w:tc>
          <w:tcPr>
            <w:tcW w:w="2268" w:type="dxa"/>
            <w:tcBorders>
              <w:top w:val="nil"/>
              <w:left w:val="nil"/>
              <w:bottom w:val="single" w:color="auto" w:sz="4" w:space="0"/>
              <w:right w:val="single" w:color="auto" w:sz="4" w:space="0"/>
            </w:tcBorders>
            <w:shd w:val="clear" w:color="auto" w:fill="auto"/>
            <w:vAlign w:val="center"/>
          </w:tcPr>
          <w:p w14:paraId="5D240C62">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Z45X-10,DN=200</w:t>
            </w:r>
          </w:p>
        </w:tc>
        <w:tc>
          <w:tcPr>
            <w:tcW w:w="709" w:type="dxa"/>
            <w:tcBorders>
              <w:top w:val="nil"/>
              <w:left w:val="nil"/>
              <w:bottom w:val="single" w:color="auto" w:sz="4" w:space="0"/>
              <w:right w:val="single" w:color="auto" w:sz="4" w:space="0"/>
            </w:tcBorders>
            <w:shd w:val="clear" w:color="auto" w:fill="auto"/>
            <w:noWrap/>
            <w:vAlign w:val="center"/>
          </w:tcPr>
          <w:p w14:paraId="35B0EA8C">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53023AFB">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147</w:t>
            </w:r>
          </w:p>
        </w:tc>
        <w:tc>
          <w:tcPr>
            <w:tcW w:w="1134" w:type="dxa"/>
            <w:tcBorders>
              <w:top w:val="nil"/>
              <w:left w:val="nil"/>
              <w:bottom w:val="single" w:color="auto" w:sz="4" w:space="0"/>
              <w:right w:val="single" w:color="auto" w:sz="4" w:space="0"/>
            </w:tcBorders>
            <w:shd w:val="clear" w:color="000000" w:fill="FFFFFF"/>
            <w:noWrap/>
            <w:vAlign w:val="center"/>
          </w:tcPr>
          <w:p w14:paraId="3F7151E6">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1719 </w:t>
            </w:r>
          </w:p>
        </w:tc>
        <w:tc>
          <w:tcPr>
            <w:tcW w:w="1417" w:type="dxa"/>
            <w:tcBorders>
              <w:top w:val="nil"/>
              <w:left w:val="nil"/>
              <w:bottom w:val="single" w:color="auto" w:sz="4" w:space="0"/>
              <w:right w:val="single" w:color="auto" w:sz="4" w:space="0"/>
            </w:tcBorders>
            <w:shd w:val="clear" w:color="auto" w:fill="auto"/>
            <w:noWrap/>
            <w:vAlign w:val="center"/>
          </w:tcPr>
          <w:p w14:paraId="77015717">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252693 </w:t>
            </w:r>
          </w:p>
        </w:tc>
      </w:tr>
      <w:tr w14:paraId="56A3BA2D">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7688440">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1559" w:type="dxa"/>
            <w:tcBorders>
              <w:top w:val="nil"/>
              <w:left w:val="nil"/>
              <w:bottom w:val="single" w:color="auto" w:sz="4" w:space="0"/>
              <w:right w:val="single" w:color="auto" w:sz="4" w:space="0"/>
            </w:tcBorders>
            <w:shd w:val="clear" w:color="auto" w:fill="auto"/>
            <w:noWrap/>
            <w:vAlign w:val="center"/>
          </w:tcPr>
          <w:p w14:paraId="6B5761AD">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闸阀</w:t>
            </w:r>
          </w:p>
        </w:tc>
        <w:tc>
          <w:tcPr>
            <w:tcW w:w="2268" w:type="dxa"/>
            <w:tcBorders>
              <w:top w:val="nil"/>
              <w:left w:val="nil"/>
              <w:bottom w:val="single" w:color="auto" w:sz="4" w:space="0"/>
              <w:right w:val="single" w:color="auto" w:sz="4" w:space="0"/>
            </w:tcBorders>
            <w:shd w:val="clear" w:color="auto" w:fill="auto"/>
            <w:vAlign w:val="center"/>
          </w:tcPr>
          <w:p w14:paraId="2DF2F4B8">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 Z45X-10,DN=300</w:t>
            </w:r>
          </w:p>
        </w:tc>
        <w:tc>
          <w:tcPr>
            <w:tcW w:w="709" w:type="dxa"/>
            <w:tcBorders>
              <w:top w:val="nil"/>
              <w:left w:val="nil"/>
              <w:bottom w:val="single" w:color="auto" w:sz="4" w:space="0"/>
              <w:right w:val="single" w:color="auto" w:sz="4" w:space="0"/>
            </w:tcBorders>
            <w:shd w:val="clear" w:color="auto" w:fill="auto"/>
            <w:noWrap/>
            <w:vAlign w:val="center"/>
          </w:tcPr>
          <w:p w14:paraId="5A757D24">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14C025DB">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1134" w:type="dxa"/>
            <w:tcBorders>
              <w:top w:val="nil"/>
              <w:left w:val="nil"/>
              <w:bottom w:val="single" w:color="auto" w:sz="4" w:space="0"/>
              <w:right w:val="single" w:color="auto" w:sz="4" w:space="0"/>
            </w:tcBorders>
            <w:shd w:val="clear" w:color="000000" w:fill="FFFFFF"/>
            <w:noWrap/>
            <w:vAlign w:val="center"/>
          </w:tcPr>
          <w:p w14:paraId="26342FCB">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3645 </w:t>
            </w:r>
          </w:p>
        </w:tc>
        <w:tc>
          <w:tcPr>
            <w:tcW w:w="1417" w:type="dxa"/>
            <w:tcBorders>
              <w:top w:val="nil"/>
              <w:left w:val="nil"/>
              <w:bottom w:val="single" w:color="auto" w:sz="4" w:space="0"/>
              <w:right w:val="single" w:color="auto" w:sz="4" w:space="0"/>
            </w:tcBorders>
            <w:shd w:val="clear" w:color="auto" w:fill="auto"/>
            <w:noWrap/>
            <w:vAlign w:val="center"/>
          </w:tcPr>
          <w:p w14:paraId="2C0AB10E">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7289 </w:t>
            </w:r>
          </w:p>
        </w:tc>
      </w:tr>
      <w:tr w14:paraId="3456AC1D">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B9153C8">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w:t>
            </w:r>
          </w:p>
        </w:tc>
        <w:tc>
          <w:tcPr>
            <w:tcW w:w="1559" w:type="dxa"/>
            <w:tcBorders>
              <w:top w:val="nil"/>
              <w:left w:val="nil"/>
              <w:bottom w:val="single" w:color="auto" w:sz="4" w:space="0"/>
              <w:right w:val="single" w:color="auto" w:sz="4" w:space="0"/>
            </w:tcBorders>
            <w:shd w:val="clear" w:color="auto" w:fill="auto"/>
            <w:noWrap/>
            <w:vAlign w:val="center"/>
          </w:tcPr>
          <w:p w14:paraId="45279394">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偏心半球阀</w:t>
            </w:r>
          </w:p>
        </w:tc>
        <w:tc>
          <w:tcPr>
            <w:tcW w:w="2268" w:type="dxa"/>
            <w:tcBorders>
              <w:top w:val="nil"/>
              <w:left w:val="nil"/>
              <w:bottom w:val="single" w:color="auto" w:sz="4" w:space="0"/>
              <w:right w:val="single" w:color="auto" w:sz="4" w:space="0"/>
            </w:tcBorders>
            <w:shd w:val="clear" w:color="auto" w:fill="auto"/>
            <w:vAlign w:val="center"/>
          </w:tcPr>
          <w:p w14:paraId="1236767C">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DN=600,PN=1.0MPa</w:t>
            </w:r>
          </w:p>
        </w:tc>
        <w:tc>
          <w:tcPr>
            <w:tcW w:w="709" w:type="dxa"/>
            <w:tcBorders>
              <w:top w:val="nil"/>
              <w:left w:val="nil"/>
              <w:bottom w:val="single" w:color="auto" w:sz="4" w:space="0"/>
              <w:right w:val="single" w:color="auto" w:sz="4" w:space="0"/>
            </w:tcBorders>
            <w:shd w:val="clear" w:color="auto" w:fill="auto"/>
            <w:noWrap/>
            <w:vAlign w:val="center"/>
          </w:tcPr>
          <w:p w14:paraId="398B646B">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424A8095">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27</w:t>
            </w:r>
          </w:p>
        </w:tc>
        <w:tc>
          <w:tcPr>
            <w:tcW w:w="1134" w:type="dxa"/>
            <w:tcBorders>
              <w:top w:val="nil"/>
              <w:left w:val="nil"/>
              <w:bottom w:val="single" w:color="auto" w:sz="4" w:space="0"/>
              <w:right w:val="single" w:color="auto" w:sz="4" w:space="0"/>
            </w:tcBorders>
            <w:shd w:val="clear" w:color="000000" w:fill="FFFFFF"/>
            <w:noWrap/>
            <w:vAlign w:val="center"/>
          </w:tcPr>
          <w:p w14:paraId="049A6920">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40865 </w:t>
            </w:r>
          </w:p>
        </w:tc>
        <w:tc>
          <w:tcPr>
            <w:tcW w:w="1417" w:type="dxa"/>
            <w:tcBorders>
              <w:top w:val="nil"/>
              <w:left w:val="nil"/>
              <w:bottom w:val="single" w:color="auto" w:sz="4" w:space="0"/>
              <w:right w:val="single" w:color="auto" w:sz="4" w:space="0"/>
            </w:tcBorders>
            <w:shd w:val="clear" w:color="auto" w:fill="auto"/>
            <w:noWrap/>
            <w:vAlign w:val="center"/>
          </w:tcPr>
          <w:p w14:paraId="331D07AE">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1103344 </w:t>
            </w:r>
          </w:p>
        </w:tc>
      </w:tr>
      <w:tr w14:paraId="2F43A615">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C37EAB7">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w:t>
            </w:r>
          </w:p>
        </w:tc>
        <w:tc>
          <w:tcPr>
            <w:tcW w:w="1559" w:type="dxa"/>
            <w:tcBorders>
              <w:top w:val="nil"/>
              <w:left w:val="nil"/>
              <w:bottom w:val="single" w:color="auto" w:sz="4" w:space="0"/>
              <w:right w:val="single" w:color="auto" w:sz="4" w:space="0"/>
            </w:tcBorders>
            <w:shd w:val="clear" w:color="auto" w:fill="auto"/>
            <w:noWrap/>
            <w:vAlign w:val="center"/>
          </w:tcPr>
          <w:p w14:paraId="56AB637C">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偏心半球阀</w:t>
            </w:r>
          </w:p>
        </w:tc>
        <w:tc>
          <w:tcPr>
            <w:tcW w:w="2268" w:type="dxa"/>
            <w:tcBorders>
              <w:top w:val="nil"/>
              <w:left w:val="nil"/>
              <w:bottom w:val="single" w:color="auto" w:sz="4" w:space="0"/>
              <w:right w:val="single" w:color="auto" w:sz="4" w:space="0"/>
            </w:tcBorders>
            <w:shd w:val="clear" w:color="auto" w:fill="auto"/>
            <w:vAlign w:val="center"/>
          </w:tcPr>
          <w:p w14:paraId="61BB2C4A">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 DN=400，PN=0.6MPa</w:t>
            </w:r>
          </w:p>
        </w:tc>
        <w:tc>
          <w:tcPr>
            <w:tcW w:w="709" w:type="dxa"/>
            <w:tcBorders>
              <w:top w:val="nil"/>
              <w:left w:val="nil"/>
              <w:bottom w:val="single" w:color="auto" w:sz="4" w:space="0"/>
              <w:right w:val="single" w:color="auto" w:sz="4" w:space="0"/>
            </w:tcBorders>
            <w:shd w:val="clear" w:color="auto" w:fill="auto"/>
            <w:noWrap/>
            <w:vAlign w:val="center"/>
          </w:tcPr>
          <w:p w14:paraId="3BB3F886">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74782C9F">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1134" w:type="dxa"/>
            <w:tcBorders>
              <w:top w:val="nil"/>
              <w:left w:val="nil"/>
              <w:bottom w:val="single" w:color="auto" w:sz="4" w:space="0"/>
              <w:right w:val="single" w:color="auto" w:sz="4" w:space="0"/>
            </w:tcBorders>
            <w:shd w:val="clear" w:color="000000" w:fill="FFFFFF"/>
            <w:noWrap/>
            <w:vAlign w:val="center"/>
          </w:tcPr>
          <w:p w14:paraId="181EEAF0">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23552 </w:t>
            </w:r>
          </w:p>
        </w:tc>
        <w:tc>
          <w:tcPr>
            <w:tcW w:w="1417" w:type="dxa"/>
            <w:tcBorders>
              <w:top w:val="nil"/>
              <w:left w:val="nil"/>
              <w:bottom w:val="single" w:color="auto" w:sz="4" w:space="0"/>
              <w:right w:val="single" w:color="auto" w:sz="4" w:space="0"/>
            </w:tcBorders>
            <w:shd w:val="clear" w:color="auto" w:fill="auto"/>
            <w:noWrap/>
            <w:vAlign w:val="center"/>
          </w:tcPr>
          <w:p w14:paraId="70349F45">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235520 </w:t>
            </w:r>
          </w:p>
        </w:tc>
      </w:tr>
      <w:tr w14:paraId="3616D5CE">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5B11B22">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9</w:t>
            </w:r>
          </w:p>
        </w:tc>
        <w:tc>
          <w:tcPr>
            <w:tcW w:w="1559" w:type="dxa"/>
            <w:tcBorders>
              <w:top w:val="nil"/>
              <w:left w:val="nil"/>
              <w:bottom w:val="single" w:color="auto" w:sz="4" w:space="0"/>
              <w:right w:val="single" w:color="auto" w:sz="4" w:space="0"/>
            </w:tcBorders>
            <w:shd w:val="clear" w:color="auto" w:fill="auto"/>
            <w:noWrap/>
            <w:vAlign w:val="center"/>
          </w:tcPr>
          <w:p w14:paraId="6E6CA41F">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偏心半球阀</w:t>
            </w:r>
          </w:p>
        </w:tc>
        <w:tc>
          <w:tcPr>
            <w:tcW w:w="2268" w:type="dxa"/>
            <w:tcBorders>
              <w:top w:val="nil"/>
              <w:left w:val="nil"/>
              <w:bottom w:val="single" w:color="auto" w:sz="4" w:space="0"/>
              <w:right w:val="single" w:color="auto" w:sz="4" w:space="0"/>
            </w:tcBorders>
            <w:shd w:val="clear" w:color="auto" w:fill="auto"/>
            <w:vAlign w:val="center"/>
          </w:tcPr>
          <w:p w14:paraId="75FD3452">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 DN=600,PN=0.6MPa</w:t>
            </w:r>
          </w:p>
        </w:tc>
        <w:tc>
          <w:tcPr>
            <w:tcW w:w="709" w:type="dxa"/>
            <w:tcBorders>
              <w:top w:val="nil"/>
              <w:left w:val="nil"/>
              <w:bottom w:val="single" w:color="auto" w:sz="4" w:space="0"/>
              <w:right w:val="single" w:color="auto" w:sz="4" w:space="0"/>
            </w:tcBorders>
            <w:shd w:val="clear" w:color="auto" w:fill="auto"/>
            <w:noWrap/>
            <w:vAlign w:val="center"/>
          </w:tcPr>
          <w:p w14:paraId="05AA017A">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4031257F">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1134" w:type="dxa"/>
            <w:tcBorders>
              <w:top w:val="nil"/>
              <w:left w:val="nil"/>
              <w:bottom w:val="single" w:color="auto" w:sz="4" w:space="0"/>
              <w:right w:val="single" w:color="auto" w:sz="4" w:space="0"/>
            </w:tcBorders>
            <w:shd w:val="clear" w:color="000000" w:fill="FFFFFF"/>
            <w:noWrap/>
            <w:vAlign w:val="center"/>
          </w:tcPr>
          <w:p w14:paraId="7D2AAABB">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40767 </w:t>
            </w:r>
          </w:p>
        </w:tc>
        <w:tc>
          <w:tcPr>
            <w:tcW w:w="1417" w:type="dxa"/>
            <w:tcBorders>
              <w:top w:val="nil"/>
              <w:left w:val="nil"/>
              <w:bottom w:val="single" w:color="auto" w:sz="4" w:space="0"/>
              <w:right w:val="single" w:color="auto" w:sz="4" w:space="0"/>
            </w:tcBorders>
            <w:shd w:val="clear" w:color="auto" w:fill="auto"/>
            <w:noWrap/>
            <w:vAlign w:val="center"/>
          </w:tcPr>
          <w:p w14:paraId="3C25CE75">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40767 </w:t>
            </w:r>
          </w:p>
        </w:tc>
      </w:tr>
      <w:tr w14:paraId="0C9351C8">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3C3D80D">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1559" w:type="dxa"/>
            <w:tcBorders>
              <w:top w:val="nil"/>
              <w:left w:val="nil"/>
              <w:bottom w:val="single" w:color="auto" w:sz="4" w:space="0"/>
              <w:right w:val="single" w:color="auto" w:sz="4" w:space="0"/>
            </w:tcBorders>
            <w:shd w:val="clear" w:color="auto" w:fill="auto"/>
            <w:noWrap/>
            <w:vAlign w:val="center"/>
          </w:tcPr>
          <w:p w14:paraId="6E38A1DA">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排水（泥）阀 </w:t>
            </w:r>
          </w:p>
        </w:tc>
        <w:tc>
          <w:tcPr>
            <w:tcW w:w="2268" w:type="dxa"/>
            <w:tcBorders>
              <w:top w:val="nil"/>
              <w:left w:val="nil"/>
              <w:bottom w:val="single" w:color="auto" w:sz="4" w:space="0"/>
              <w:right w:val="single" w:color="auto" w:sz="4" w:space="0"/>
            </w:tcBorders>
            <w:shd w:val="clear" w:color="auto" w:fill="auto"/>
            <w:vAlign w:val="center"/>
          </w:tcPr>
          <w:p w14:paraId="3D3FEB44">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DN=600,PN=1.0MPa</w:t>
            </w:r>
          </w:p>
        </w:tc>
        <w:tc>
          <w:tcPr>
            <w:tcW w:w="709" w:type="dxa"/>
            <w:tcBorders>
              <w:top w:val="nil"/>
              <w:left w:val="nil"/>
              <w:bottom w:val="single" w:color="auto" w:sz="4" w:space="0"/>
              <w:right w:val="single" w:color="auto" w:sz="4" w:space="0"/>
            </w:tcBorders>
            <w:shd w:val="clear" w:color="auto" w:fill="auto"/>
            <w:noWrap/>
            <w:vAlign w:val="center"/>
          </w:tcPr>
          <w:p w14:paraId="08C2C8B7">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5FAD04FA">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1134" w:type="dxa"/>
            <w:tcBorders>
              <w:top w:val="nil"/>
              <w:left w:val="nil"/>
              <w:bottom w:val="single" w:color="auto" w:sz="4" w:space="0"/>
              <w:right w:val="single" w:color="auto" w:sz="4" w:space="0"/>
            </w:tcBorders>
            <w:shd w:val="clear" w:color="000000" w:fill="FFFFFF"/>
            <w:noWrap/>
            <w:vAlign w:val="center"/>
          </w:tcPr>
          <w:p w14:paraId="0E702432">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40865 </w:t>
            </w:r>
          </w:p>
        </w:tc>
        <w:tc>
          <w:tcPr>
            <w:tcW w:w="1417" w:type="dxa"/>
            <w:tcBorders>
              <w:top w:val="nil"/>
              <w:left w:val="nil"/>
              <w:bottom w:val="single" w:color="auto" w:sz="4" w:space="0"/>
              <w:right w:val="single" w:color="auto" w:sz="4" w:space="0"/>
            </w:tcBorders>
            <w:shd w:val="clear" w:color="auto" w:fill="auto"/>
            <w:noWrap/>
            <w:vAlign w:val="center"/>
          </w:tcPr>
          <w:p w14:paraId="4E709F1B">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408650 </w:t>
            </w:r>
          </w:p>
        </w:tc>
      </w:tr>
      <w:tr w14:paraId="3A3BB142">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5059854">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11</w:t>
            </w:r>
          </w:p>
        </w:tc>
        <w:tc>
          <w:tcPr>
            <w:tcW w:w="1559" w:type="dxa"/>
            <w:tcBorders>
              <w:top w:val="nil"/>
              <w:left w:val="nil"/>
              <w:bottom w:val="single" w:color="auto" w:sz="4" w:space="0"/>
              <w:right w:val="single" w:color="auto" w:sz="4" w:space="0"/>
            </w:tcBorders>
            <w:shd w:val="clear" w:color="auto" w:fill="auto"/>
            <w:noWrap/>
            <w:vAlign w:val="center"/>
          </w:tcPr>
          <w:p w14:paraId="3AE3FCDF">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复合式排气阀</w:t>
            </w:r>
          </w:p>
        </w:tc>
        <w:tc>
          <w:tcPr>
            <w:tcW w:w="2268" w:type="dxa"/>
            <w:tcBorders>
              <w:top w:val="nil"/>
              <w:left w:val="nil"/>
              <w:bottom w:val="single" w:color="auto" w:sz="4" w:space="0"/>
              <w:right w:val="single" w:color="auto" w:sz="4" w:space="0"/>
            </w:tcBorders>
            <w:shd w:val="clear" w:color="auto" w:fill="auto"/>
            <w:vAlign w:val="center"/>
          </w:tcPr>
          <w:p w14:paraId="1E425F0F">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DN=200,PN=1.0MPa</w:t>
            </w:r>
          </w:p>
        </w:tc>
        <w:tc>
          <w:tcPr>
            <w:tcW w:w="709" w:type="dxa"/>
            <w:tcBorders>
              <w:top w:val="nil"/>
              <w:left w:val="nil"/>
              <w:bottom w:val="single" w:color="auto" w:sz="4" w:space="0"/>
              <w:right w:val="single" w:color="auto" w:sz="4" w:space="0"/>
            </w:tcBorders>
            <w:shd w:val="clear" w:color="auto" w:fill="auto"/>
            <w:noWrap/>
            <w:vAlign w:val="center"/>
          </w:tcPr>
          <w:p w14:paraId="02694AC8">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33B31968">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147</w:t>
            </w:r>
          </w:p>
        </w:tc>
        <w:tc>
          <w:tcPr>
            <w:tcW w:w="1134" w:type="dxa"/>
            <w:tcBorders>
              <w:top w:val="nil"/>
              <w:left w:val="nil"/>
              <w:bottom w:val="single" w:color="auto" w:sz="4" w:space="0"/>
              <w:right w:val="single" w:color="auto" w:sz="4" w:space="0"/>
            </w:tcBorders>
            <w:shd w:val="clear" w:color="000000" w:fill="FFFFFF"/>
            <w:noWrap/>
            <w:vAlign w:val="center"/>
          </w:tcPr>
          <w:p w14:paraId="104AA84A">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5551 </w:t>
            </w:r>
          </w:p>
        </w:tc>
        <w:tc>
          <w:tcPr>
            <w:tcW w:w="1417" w:type="dxa"/>
            <w:tcBorders>
              <w:top w:val="nil"/>
              <w:left w:val="nil"/>
              <w:bottom w:val="single" w:color="auto" w:sz="4" w:space="0"/>
              <w:right w:val="single" w:color="auto" w:sz="4" w:space="0"/>
            </w:tcBorders>
            <w:shd w:val="clear" w:color="auto" w:fill="auto"/>
            <w:noWrap/>
            <w:vAlign w:val="center"/>
          </w:tcPr>
          <w:p w14:paraId="22B1EDAA">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815941 </w:t>
            </w:r>
          </w:p>
        </w:tc>
      </w:tr>
      <w:tr w14:paraId="00D37F9B">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B38E74E">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12</w:t>
            </w:r>
          </w:p>
        </w:tc>
        <w:tc>
          <w:tcPr>
            <w:tcW w:w="1559" w:type="dxa"/>
            <w:tcBorders>
              <w:top w:val="nil"/>
              <w:left w:val="nil"/>
              <w:bottom w:val="single" w:color="auto" w:sz="4" w:space="0"/>
              <w:right w:val="single" w:color="auto" w:sz="4" w:space="0"/>
            </w:tcBorders>
            <w:shd w:val="clear" w:color="auto" w:fill="auto"/>
            <w:noWrap/>
            <w:vAlign w:val="center"/>
          </w:tcPr>
          <w:p w14:paraId="4AA7D1D9">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复合式排气阀</w:t>
            </w:r>
          </w:p>
        </w:tc>
        <w:tc>
          <w:tcPr>
            <w:tcW w:w="2268" w:type="dxa"/>
            <w:tcBorders>
              <w:top w:val="nil"/>
              <w:left w:val="nil"/>
              <w:bottom w:val="single" w:color="auto" w:sz="4" w:space="0"/>
              <w:right w:val="single" w:color="auto" w:sz="4" w:space="0"/>
            </w:tcBorders>
            <w:shd w:val="clear" w:color="auto" w:fill="auto"/>
            <w:vAlign w:val="center"/>
          </w:tcPr>
          <w:p w14:paraId="60DDC0A7">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DN=300,PN=1.0MPa</w:t>
            </w:r>
          </w:p>
        </w:tc>
        <w:tc>
          <w:tcPr>
            <w:tcW w:w="709" w:type="dxa"/>
            <w:tcBorders>
              <w:top w:val="nil"/>
              <w:left w:val="nil"/>
              <w:bottom w:val="single" w:color="auto" w:sz="4" w:space="0"/>
              <w:right w:val="single" w:color="auto" w:sz="4" w:space="0"/>
            </w:tcBorders>
            <w:shd w:val="clear" w:color="auto" w:fill="auto"/>
            <w:noWrap/>
            <w:vAlign w:val="center"/>
          </w:tcPr>
          <w:p w14:paraId="270E5832">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7A796B71">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1134" w:type="dxa"/>
            <w:tcBorders>
              <w:top w:val="nil"/>
              <w:left w:val="nil"/>
              <w:bottom w:val="single" w:color="auto" w:sz="4" w:space="0"/>
              <w:right w:val="single" w:color="auto" w:sz="4" w:space="0"/>
            </w:tcBorders>
            <w:shd w:val="clear" w:color="000000" w:fill="FFFFFF"/>
            <w:noWrap/>
            <w:vAlign w:val="center"/>
          </w:tcPr>
          <w:p w14:paraId="6771B9DD">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12635 </w:t>
            </w:r>
          </w:p>
        </w:tc>
        <w:tc>
          <w:tcPr>
            <w:tcW w:w="1417" w:type="dxa"/>
            <w:tcBorders>
              <w:top w:val="nil"/>
              <w:left w:val="nil"/>
              <w:bottom w:val="single" w:color="auto" w:sz="4" w:space="0"/>
              <w:right w:val="single" w:color="auto" w:sz="4" w:space="0"/>
            </w:tcBorders>
            <w:shd w:val="clear" w:color="auto" w:fill="auto"/>
            <w:noWrap/>
            <w:vAlign w:val="center"/>
          </w:tcPr>
          <w:p w14:paraId="4721ECFE">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50539 </w:t>
            </w:r>
          </w:p>
        </w:tc>
      </w:tr>
      <w:tr w14:paraId="0C49FA01">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357B3CC7">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13</w:t>
            </w:r>
          </w:p>
        </w:tc>
        <w:tc>
          <w:tcPr>
            <w:tcW w:w="1559" w:type="dxa"/>
            <w:tcBorders>
              <w:top w:val="nil"/>
              <w:left w:val="nil"/>
              <w:bottom w:val="single" w:color="auto" w:sz="4" w:space="0"/>
              <w:right w:val="single" w:color="auto" w:sz="4" w:space="0"/>
            </w:tcBorders>
            <w:shd w:val="clear" w:color="auto" w:fill="auto"/>
            <w:noWrap/>
            <w:vAlign w:val="center"/>
          </w:tcPr>
          <w:p w14:paraId="4A0D2655">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复合式排气阀</w:t>
            </w:r>
          </w:p>
        </w:tc>
        <w:tc>
          <w:tcPr>
            <w:tcW w:w="2268" w:type="dxa"/>
            <w:tcBorders>
              <w:top w:val="nil"/>
              <w:left w:val="nil"/>
              <w:bottom w:val="single" w:color="auto" w:sz="4" w:space="0"/>
              <w:right w:val="single" w:color="auto" w:sz="4" w:space="0"/>
            </w:tcBorders>
            <w:shd w:val="clear" w:color="auto" w:fill="auto"/>
            <w:vAlign w:val="center"/>
          </w:tcPr>
          <w:p w14:paraId="5BF1ECF5">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 DN=150,PN=1.0MPa</w:t>
            </w:r>
          </w:p>
        </w:tc>
        <w:tc>
          <w:tcPr>
            <w:tcW w:w="709" w:type="dxa"/>
            <w:tcBorders>
              <w:top w:val="nil"/>
              <w:left w:val="nil"/>
              <w:bottom w:val="single" w:color="auto" w:sz="4" w:space="0"/>
              <w:right w:val="single" w:color="auto" w:sz="4" w:space="0"/>
            </w:tcBorders>
            <w:shd w:val="clear" w:color="auto" w:fill="auto"/>
            <w:noWrap/>
            <w:vAlign w:val="center"/>
          </w:tcPr>
          <w:p w14:paraId="0B970200">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655BFFDB">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18</w:t>
            </w:r>
          </w:p>
        </w:tc>
        <w:tc>
          <w:tcPr>
            <w:tcW w:w="1134" w:type="dxa"/>
            <w:tcBorders>
              <w:top w:val="nil"/>
              <w:left w:val="nil"/>
              <w:bottom w:val="single" w:color="auto" w:sz="4" w:space="0"/>
              <w:right w:val="single" w:color="auto" w:sz="4" w:space="0"/>
            </w:tcBorders>
            <w:shd w:val="clear" w:color="000000" w:fill="FFFFFF"/>
            <w:noWrap/>
            <w:vAlign w:val="center"/>
          </w:tcPr>
          <w:p w14:paraId="01C6CB07">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3893 </w:t>
            </w:r>
          </w:p>
        </w:tc>
        <w:tc>
          <w:tcPr>
            <w:tcW w:w="1417" w:type="dxa"/>
            <w:tcBorders>
              <w:top w:val="nil"/>
              <w:left w:val="nil"/>
              <w:bottom w:val="single" w:color="auto" w:sz="4" w:space="0"/>
              <w:right w:val="single" w:color="auto" w:sz="4" w:space="0"/>
            </w:tcBorders>
            <w:shd w:val="clear" w:color="auto" w:fill="auto"/>
            <w:noWrap/>
            <w:vAlign w:val="center"/>
          </w:tcPr>
          <w:p w14:paraId="14854DFA">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70066 </w:t>
            </w:r>
          </w:p>
        </w:tc>
      </w:tr>
      <w:tr w14:paraId="35F8CC30">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332E0EF9">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14</w:t>
            </w:r>
          </w:p>
        </w:tc>
        <w:tc>
          <w:tcPr>
            <w:tcW w:w="1559" w:type="dxa"/>
            <w:tcBorders>
              <w:top w:val="nil"/>
              <w:left w:val="nil"/>
              <w:bottom w:val="single" w:color="auto" w:sz="4" w:space="0"/>
              <w:right w:val="single" w:color="auto" w:sz="4" w:space="0"/>
            </w:tcBorders>
            <w:shd w:val="clear" w:color="auto" w:fill="auto"/>
            <w:noWrap/>
            <w:vAlign w:val="center"/>
          </w:tcPr>
          <w:p w14:paraId="5591AC54">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伸缩节</w:t>
            </w:r>
          </w:p>
        </w:tc>
        <w:tc>
          <w:tcPr>
            <w:tcW w:w="2268" w:type="dxa"/>
            <w:tcBorders>
              <w:top w:val="nil"/>
              <w:left w:val="nil"/>
              <w:bottom w:val="single" w:color="auto" w:sz="4" w:space="0"/>
              <w:right w:val="single" w:color="auto" w:sz="4" w:space="0"/>
            </w:tcBorders>
            <w:shd w:val="clear" w:color="auto" w:fill="auto"/>
            <w:vAlign w:val="center"/>
          </w:tcPr>
          <w:p w14:paraId="0519573E">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 C2F-10,DN=2800</w:t>
            </w:r>
          </w:p>
        </w:tc>
        <w:tc>
          <w:tcPr>
            <w:tcW w:w="709" w:type="dxa"/>
            <w:tcBorders>
              <w:top w:val="nil"/>
              <w:left w:val="nil"/>
              <w:bottom w:val="single" w:color="auto" w:sz="4" w:space="0"/>
              <w:right w:val="single" w:color="auto" w:sz="4" w:space="0"/>
            </w:tcBorders>
            <w:shd w:val="clear" w:color="auto" w:fill="auto"/>
            <w:noWrap/>
            <w:vAlign w:val="center"/>
          </w:tcPr>
          <w:p w14:paraId="72C4B474">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6CF84882">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34</w:t>
            </w:r>
          </w:p>
        </w:tc>
        <w:tc>
          <w:tcPr>
            <w:tcW w:w="1134" w:type="dxa"/>
            <w:tcBorders>
              <w:top w:val="nil"/>
              <w:left w:val="nil"/>
              <w:bottom w:val="single" w:color="auto" w:sz="4" w:space="0"/>
              <w:right w:val="single" w:color="auto" w:sz="4" w:space="0"/>
            </w:tcBorders>
            <w:shd w:val="clear" w:color="000000" w:fill="FFFFFF"/>
            <w:noWrap/>
            <w:vAlign w:val="center"/>
          </w:tcPr>
          <w:p w14:paraId="7D4F36FC">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125493 </w:t>
            </w:r>
          </w:p>
        </w:tc>
        <w:tc>
          <w:tcPr>
            <w:tcW w:w="1417" w:type="dxa"/>
            <w:tcBorders>
              <w:top w:val="nil"/>
              <w:left w:val="nil"/>
              <w:bottom w:val="single" w:color="auto" w:sz="4" w:space="0"/>
              <w:right w:val="single" w:color="auto" w:sz="4" w:space="0"/>
            </w:tcBorders>
            <w:shd w:val="clear" w:color="auto" w:fill="auto"/>
            <w:noWrap/>
            <w:vAlign w:val="center"/>
          </w:tcPr>
          <w:p w14:paraId="24FA3572">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4266776 </w:t>
            </w:r>
          </w:p>
        </w:tc>
      </w:tr>
      <w:tr w14:paraId="31997CDA">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3ADF8E03">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15</w:t>
            </w:r>
          </w:p>
        </w:tc>
        <w:tc>
          <w:tcPr>
            <w:tcW w:w="1559" w:type="dxa"/>
            <w:tcBorders>
              <w:top w:val="nil"/>
              <w:left w:val="nil"/>
              <w:bottom w:val="single" w:color="auto" w:sz="4" w:space="0"/>
              <w:right w:val="single" w:color="auto" w:sz="4" w:space="0"/>
            </w:tcBorders>
            <w:shd w:val="clear" w:color="auto" w:fill="auto"/>
            <w:noWrap/>
            <w:vAlign w:val="center"/>
          </w:tcPr>
          <w:p w14:paraId="7458D7BD">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伸缩节</w:t>
            </w:r>
          </w:p>
        </w:tc>
        <w:tc>
          <w:tcPr>
            <w:tcW w:w="2268" w:type="dxa"/>
            <w:tcBorders>
              <w:top w:val="nil"/>
              <w:left w:val="nil"/>
              <w:bottom w:val="single" w:color="auto" w:sz="4" w:space="0"/>
              <w:right w:val="single" w:color="auto" w:sz="4" w:space="0"/>
            </w:tcBorders>
            <w:shd w:val="clear" w:color="auto" w:fill="auto"/>
            <w:vAlign w:val="center"/>
          </w:tcPr>
          <w:p w14:paraId="25A7F6A7">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 C2F-10,DN=1200</w:t>
            </w:r>
          </w:p>
        </w:tc>
        <w:tc>
          <w:tcPr>
            <w:tcW w:w="709" w:type="dxa"/>
            <w:tcBorders>
              <w:top w:val="nil"/>
              <w:left w:val="nil"/>
              <w:bottom w:val="single" w:color="auto" w:sz="4" w:space="0"/>
              <w:right w:val="single" w:color="auto" w:sz="4" w:space="0"/>
            </w:tcBorders>
            <w:shd w:val="clear" w:color="auto" w:fill="auto"/>
            <w:noWrap/>
            <w:vAlign w:val="center"/>
          </w:tcPr>
          <w:p w14:paraId="3BE32902">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52891492">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1134" w:type="dxa"/>
            <w:tcBorders>
              <w:top w:val="nil"/>
              <w:left w:val="nil"/>
              <w:bottom w:val="single" w:color="auto" w:sz="4" w:space="0"/>
              <w:right w:val="single" w:color="auto" w:sz="4" w:space="0"/>
            </w:tcBorders>
            <w:shd w:val="clear" w:color="000000" w:fill="FFFFFF"/>
            <w:noWrap/>
            <w:vAlign w:val="center"/>
          </w:tcPr>
          <w:p w14:paraId="1D6675E8">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20937 </w:t>
            </w:r>
          </w:p>
        </w:tc>
        <w:tc>
          <w:tcPr>
            <w:tcW w:w="1417" w:type="dxa"/>
            <w:tcBorders>
              <w:top w:val="nil"/>
              <w:left w:val="nil"/>
              <w:bottom w:val="single" w:color="auto" w:sz="4" w:space="0"/>
              <w:right w:val="single" w:color="auto" w:sz="4" w:space="0"/>
            </w:tcBorders>
            <w:shd w:val="clear" w:color="auto" w:fill="auto"/>
            <w:noWrap/>
            <w:vAlign w:val="center"/>
          </w:tcPr>
          <w:p w14:paraId="7A5F1611">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83747 </w:t>
            </w:r>
          </w:p>
        </w:tc>
      </w:tr>
      <w:tr w14:paraId="6113E1D8">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03905B52">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16</w:t>
            </w:r>
          </w:p>
        </w:tc>
        <w:tc>
          <w:tcPr>
            <w:tcW w:w="1559" w:type="dxa"/>
            <w:tcBorders>
              <w:top w:val="nil"/>
              <w:left w:val="nil"/>
              <w:bottom w:val="single" w:color="auto" w:sz="4" w:space="0"/>
              <w:right w:val="single" w:color="auto" w:sz="4" w:space="0"/>
            </w:tcBorders>
            <w:shd w:val="clear" w:color="auto" w:fill="auto"/>
            <w:noWrap/>
            <w:vAlign w:val="center"/>
          </w:tcPr>
          <w:p w14:paraId="1069BFAB">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伸缩节</w:t>
            </w:r>
          </w:p>
        </w:tc>
        <w:tc>
          <w:tcPr>
            <w:tcW w:w="2268" w:type="dxa"/>
            <w:tcBorders>
              <w:top w:val="nil"/>
              <w:left w:val="nil"/>
              <w:bottom w:val="single" w:color="auto" w:sz="4" w:space="0"/>
              <w:right w:val="single" w:color="auto" w:sz="4" w:space="0"/>
            </w:tcBorders>
            <w:shd w:val="clear" w:color="auto" w:fill="auto"/>
            <w:vAlign w:val="center"/>
          </w:tcPr>
          <w:p w14:paraId="6B7F26BD">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 C2F-10,DN=600</w:t>
            </w:r>
          </w:p>
        </w:tc>
        <w:tc>
          <w:tcPr>
            <w:tcW w:w="709" w:type="dxa"/>
            <w:tcBorders>
              <w:top w:val="nil"/>
              <w:left w:val="nil"/>
              <w:bottom w:val="single" w:color="auto" w:sz="4" w:space="0"/>
              <w:right w:val="single" w:color="auto" w:sz="4" w:space="0"/>
            </w:tcBorders>
            <w:shd w:val="clear" w:color="auto" w:fill="auto"/>
            <w:noWrap/>
            <w:vAlign w:val="center"/>
          </w:tcPr>
          <w:p w14:paraId="60BFF145">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53E46987">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36</w:t>
            </w:r>
          </w:p>
        </w:tc>
        <w:tc>
          <w:tcPr>
            <w:tcW w:w="1134" w:type="dxa"/>
            <w:tcBorders>
              <w:top w:val="nil"/>
              <w:left w:val="nil"/>
              <w:bottom w:val="single" w:color="auto" w:sz="4" w:space="0"/>
              <w:right w:val="single" w:color="auto" w:sz="4" w:space="0"/>
            </w:tcBorders>
            <w:shd w:val="clear" w:color="000000" w:fill="FFFFFF"/>
            <w:noWrap/>
            <w:vAlign w:val="center"/>
          </w:tcPr>
          <w:p w14:paraId="2E8BFB16">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4976 </w:t>
            </w:r>
          </w:p>
        </w:tc>
        <w:tc>
          <w:tcPr>
            <w:tcW w:w="1417" w:type="dxa"/>
            <w:tcBorders>
              <w:top w:val="nil"/>
              <w:left w:val="nil"/>
              <w:bottom w:val="single" w:color="auto" w:sz="4" w:space="0"/>
              <w:right w:val="single" w:color="auto" w:sz="4" w:space="0"/>
            </w:tcBorders>
            <w:shd w:val="clear" w:color="auto" w:fill="auto"/>
            <w:noWrap/>
            <w:vAlign w:val="center"/>
          </w:tcPr>
          <w:p w14:paraId="678AEF86">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179153 </w:t>
            </w:r>
          </w:p>
        </w:tc>
      </w:tr>
      <w:tr w14:paraId="76D6E70D">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7885C27">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17</w:t>
            </w:r>
          </w:p>
        </w:tc>
        <w:tc>
          <w:tcPr>
            <w:tcW w:w="1559" w:type="dxa"/>
            <w:tcBorders>
              <w:top w:val="nil"/>
              <w:left w:val="nil"/>
              <w:bottom w:val="single" w:color="auto" w:sz="4" w:space="0"/>
              <w:right w:val="single" w:color="auto" w:sz="4" w:space="0"/>
            </w:tcBorders>
            <w:shd w:val="clear" w:color="auto" w:fill="auto"/>
            <w:noWrap/>
            <w:vAlign w:val="center"/>
          </w:tcPr>
          <w:p w14:paraId="1BD9F7CD">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伸缩节</w:t>
            </w:r>
          </w:p>
        </w:tc>
        <w:tc>
          <w:tcPr>
            <w:tcW w:w="2268" w:type="dxa"/>
            <w:tcBorders>
              <w:top w:val="nil"/>
              <w:left w:val="nil"/>
              <w:bottom w:val="single" w:color="auto" w:sz="4" w:space="0"/>
              <w:right w:val="single" w:color="auto" w:sz="4" w:space="0"/>
            </w:tcBorders>
            <w:shd w:val="clear" w:color="auto" w:fill="auto"/>
            <w:vAlign w:val="center"/>
          </w:tcPr>
          <w:p w14:paraId="000C60D3">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 C2F-6,DN=600</w:t>
            </w:r>
          </w:p>
        </w:tc>
        <w:tc>
          <w:tcPr>
            <w:tcW w:w="709" w:type="dxa"/>
            <w:tcBorders>
              <w:top w:val="nil"/>
              <w:left w:val="nil"/>
              <w:bottom w:val="single" w:color="auto" w:sz="4" w:space="0"/>
              <w:right w:val="single" w:color="auto" w:sz="4" w:space="0"/>
            </w:tcBorders>
            <w:shd w:val="clear" w:color="auto" w:fill="auto"/>
            <w:noWrap/>
            <w:vAlign w:val="center"/>
          </w:tcPr>
          <w:p w14:paraId="0B5890F9">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0549B689">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1134" w:type="dxa"/>
            <w:tcBorders>
              <w:top w:val="nil"/>
              <w:left w:val="nil"/>
              <w:bottom w:val="single" w:color="auto" w:sz="4" w:space="0"/>
              <w:right w:val="single" w:color="auto" w:sz="4" w:space="0"/>
            </w:tcBorders>
            <w:shd w:val="clear" w:color="000000" w:fill="FFFFFF"/>
            <w:noWrap/>
            <w:vAlign w:val="center"/>
          </w:tcPr>
          <w:p w14:paraId="3F967643">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4845 </w:t>
            </w:r>
          </w:p>
        </w:tc>
        <w:tc>
          <w:tcPr>
            <w:tcW w:w="1417" w:type="dxa"/>
            <w:tcBorders>
              <w:top w:val="nil"/>
              <w:left w:val="nil"/>
              <w:bottom w:val="single" w:color="auto" w:sz="4" w:space="0"/>
              <w:right w:val="single" w:color="auto" w:sz="4" w:space="0"/>
            </w:tcBorders>
            <w:shd w:val="clear" w:color="auto" w:fill="auto"/>
            <w:noWrap/>
            <w:vAlign w:val="center"/>
          </w:tcPr>
          <w:p w14:paraId="4C4B9986">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9690 </w:t>
            </w:r>
          </w:p>
        </w:tc>
      </w:tr>
      <w:tr w14:paraId="2A0C3409">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C631D5F">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18</w:t>
            </w:r>
          </w:p>
        </w:tc>
        <w:tc>
          <w:tcPr>
            <w:tcW w:w="1559" w:type="dxa"/>
            <w:tcBorders>
              <w:top w:val="nil"/>
              <w:left w:val="nil"/>
              <w:bottom w:val="single" w:color="auto" w:sz="4" w:space="0"/>
              <w:right w:val="single" w:color="auto" w:sz="4" w:space="0"/>
            </w:tcBorders>
            <w:shd w:val="clear" w:color="auto" w:fill="auto"/>
            <w:noWrap/>
            <w:vAlign w:val="center"/>
          </w:tcPr>
          <w:p w14:paraId="011F1BA9">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伸缩节</w:t>
            </w:r>
          </w:p>
        </w:tc>
        <w:tc>
          <w:tcPr>
            <w:tcW w:w="2268" w:type="dxa"/>
            <w:tcBorders>
              <w:top w:val="nil"/>
              <w:left w:val="nil"/>
              <w:bottom w:val="single" w:color="auto" w:sz="4" w:space="0"/>
              <w:right w:val="single" w:color="auto" w:sz="4" w:space="0"/>
            </w:tcBorders>
            <w:shd w:val="clear" w:color="auto" w:fill="auto"/>
            <w:vAlign w:val="center"/>
          </w:tcPr>
          <w:p w14:paraId="06E8E61A">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 C2F-10,DN=400</w:t>
            </w:r>
          </w:p>
        </w:tc>
        <w:tc>
          <w:tcPr>
            <w:tcW w:w="709" w:type="dxa"/>
            <w:tcBorders>
              <w:top w:val="nil"/>
              <w:left w:val="nil"/>
              <w:bottom w:val="single" w:color="auto" w:sz="4" w:space="0"/>
              <w:right w:val="single" w:color="auto" w:sz="4" w:space="0"/>
            </w:tcBorders>
            <w:shd w:val="clear" w:color="auto" w:fill="auto"/>
            <w:noWrap/>
            <w:vAlign w:val="center"/>
          </w:tcPr>
          <w:p w14:paraId="6497492F">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30C78B66">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1134" w:type="dxa"/>
            <w:tcBorders>
              <w:top w:val="nil"/>
              <w:left w:val="nil"/>
              <w:bottom w:val="single" w:color="auto" w:sz="4" w:space="0"/>
              <w:right w:val="single" w:color="auto" w:sz="4" w:space="0"/>
            </w:tcBorders>
            <w:shd w:val="clear" w:color="000000" w:fill="FFFFFF"/>
            <w:noWrap/>
            <w:vAlign w:val="center"/>
          </w:tcPr>
          <w:p w14:paraId="52DB458A">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2861 </w:t>
            </w:r>
          </w:p>
        </w:tc>
        <w:tc>
          <w:tcPr>
            <w:tcW w:w="1417" w:type="dxa"/>
            <w:tcBorders>
              <w:top w:val="nil"/>
              <w:left w:val="nil"/>
              <w:bottom w:val="single" w:color="auto" w:sz="4" w:space="0"/>
              <w:right w:val="single" w:color="auto" w:sz="4" w:space="0"/>
            </w:tcBorders>
            <w:shd w:val="clear" w:color="auto" w:fill="auto"/>
            <w:noWrap/>
            <w:vAlign w:val="center"/>
          </w:tcPr>
          <w:p w14:paraId="17C5C66C">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28605 </w:t>
            </w:r>
          </w:p>
        </w:tc>
      </w:tr>
      <w:tr w14:paraId="4AAA2804">
        <w:tblPrEx>
          <w:tblCellMar>
            <w:top w:w="0" w:type="dxa"/>
            <w:left w:w="108" w:type="dxa"/>
            <w:bottom w:w="0" w:type="dxa"/>
            <w:right w:w="108" w:type="dxa"/>
          </w:tblCellMar>
        </w:tblPrEx>
        <w:trPr>
          <w:trHeight w:val="56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9170110">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19</w:t>
            </w:r>
          </w:p>
        </w:tc>
        <w:tc>
          <w:tcPr>
            <w:tcW w:w="1559" w:type="dxa"/>
            <w:tcBorders>
              <w:top w:val="nil"/>
              <w:left w:val="nil"/>
              <w:bottom w:val="single" w:color="auto" w:sz="4" w:space="0"/>
              <w:right w:val="single" w:color="auto" w:sz="4" w:space="0"/>
            </w:tcBorders>
            <w:shd w:val="clear" w:color="auto" w:fill="auto"/>
            <w:noWrap/>
            <w:vAlign w:val="center"/>
          </w:tcPr>
          <w:p w14:paraId="651729A4">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伸缩节</w:t>
            </w:r>
          </w:p>
        </w:tc>
        <w:tc>
          <w:tcPr>
            <w:tcW w:w="2268" w:type="dxa"/>
            <w:tcBorders>
              <w:top w:val="nil"/>
              <w:left w:val="nil"/>
              <w:bottom w:val="single" w:color="auto" w:sz="4" w:space="0"/>
              <w:right w:val="single" w:color="auto" w:sz="4" w:space="0"/>
            </w:tcBorders>
            <w:shd w:val="clear" w:color="auto" w:fill="auto"/>
            <w:vAlign w:val="center"/>
          </w:tcPr>
          <w:p w14:paraId="379B5874">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 C2F-6,DN=400</w:t>
            </w:r>
          </w:p>
        </w:tc>
        <w:tc>
          <w:tcPr>
            <w:tcW w:w="709" w:type="dxa"/>
            <w:tcBorders>
              <w:top w:val="nil"/>
              <w:left w:val="nil"/>
              <w:bottom w:val="single" w:color="auto" w:sz="4" w:space="0"/>
              <w:right w:val="single" w:color="auto" w:sz="4" w:space="0"/>
            </w:tcBorders>
            <w:shd w:val="clear" w:color="auto" w:fill="auto"/>
            <w:noWrap/>
            <w:vAlign w:val="center"/>
          </w:tcPr>
          <w:p w14:paraId="5A59A727">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个</w:t>
            </w:r>
          </w:p>
        </w:tc>
        <w:tc>
          <w:tcPr>
            <w:tcW w:w="851" w:type="dxa"/>
            <w:tcBorders>
              <w:top w:val="nil"/>
              <w:left w:val="nil"/>
              <w:bottom w:val="single" w:color="auto" w:sz="4" w:space="0"/>
              <w:right w:val="single" w:color="auto" w:sz="4" w:space="0"/>
            </w:tcBorders>
            <w:shd w:val="clear" w:color="auto" w:fill="auto"/>
            <w:noWrap/>
            <w:vAlign w:val="center"/>
          </w:tcPr>
          <w:p w14:paraId="21CF1506">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1134" w:type="dxa"/>
            <w:tcBorders>
              <w:top w:val="nil"/>
              <w:left w:val="nil"/>
              <w:bottom w:val="single" w:color="auto" w:sz="4" w:space="0"/>
              <w:right w:val="single" w:color="auto" w:sz="4" w:space="0"/>
            </w:tcBorders>
            <w:shd w:val="clear" w:color="000000" w:fill="FFFFFF"/>
            <w:noWrap/>
            <w:vAlign w:val="center"/>
          </w:tcPr>
          <w:p w14:paraId="6225F006">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2826 </w:t>
            </w:r>
          </w:p>
        </w:tc>
        <w:tc>
          <w:tcPr>
            <w:tcW w:w="1417" w:type="dxa"/>
            <w:tcBorders>
              <w:top w:val="nil"/>
              <w:left w:val="nil"/>
              <w:bottom w:val="single" w:color="auto" w:sz="4" w:space="0"/>
              <w:right w:val="single" w:color="auto" w:sz="4" w:space="0"/>
            </w:tcBorders>
            <w:shd w:val="clear" w:color="auto" w:fill="auto"/>
            <w:noWrap/>
            <w:vAlign w:val="center"/>
          </w:tcPr>
          <w:p w14:paraId="198C7688">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2826 </w:t>
            </w:r>
          </w:p>
        </w:tc>
      </w:tr>
      <w:tr w14:paraId="3ED33E89">
        <w:tblPrEx>
          <w:tblCellMar>
            <w:top w:w="0" w:type="dxa"/>
            <w:left w:w="108" w:type="dxa"/>
            <w:bottom w:w="0" w:type="dxa"/>
            <w:right w:w="108" w:type="dxa"/>
          </w:tblCellMar>
        </w:tblPrEx>
        <w:trPr>
          <w:trHeight w:val="564" w:hRule="atLeast"/>
        </w:trPr>
        <w:tc>
          <w:tcPr>
            <w:tcW w:w="611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B9EF8AB">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总价（元）</w:t>
            </w:r>
          </w:p>
        </w:tc>
        <w:tc>
          <w:tcPr>
            <w:tcW w:w="1134" w:type="dxa"/>
            <w:tcBorders>
              <w:top w:val="nil"/>
              <w:left w:val="nil"/>
              <w:bottom w:val="single" w:color="auto" w:sz="4" w:space="0"/>
              <w:right w:val="single" w:color="auto" w:sz="4" w:space="0"/>
            </w:tcBorders>
            <w:shd w:val="clear" w:color="000000" w:fill="FFFFFF"/>
            <w:noWrap/>
            <w:vAlign w:val="center"/>
          </w:tcPr>
          <w:p w14:paraId="0971CDFD">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417" w:type="dxa"/>
            <w:tcBorders>
              <w:top w:val="nil"/>
              <w:left w:val="nil"/>
              <w:bottom w:val="single" w:color="auto" w:sz="4" w:space="0"/>
              <w:right w:val="single" w:color="auto" w:sz="4" w:space="0"/>
            </w:tcBorders>
            <w:shd w:val="clear" w:color="auto" w:fill="auto"/>
            <w:noWrap/>
            <w:vAlign w:val="center"/>
          </w:tcPr>
          <w:p w14:paraId="05E6D797">
            <w:pPr>
              <w:widowControl/>
              <w:spacing w:line="240" w:lineRule="auto"/>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xml:space="preserve">22700000 </w:t>
            </w:r>
          </w:p>
        </w:tc>
      </w:tr>
    </w:tbl>
    <w:p w14:paraId="1C0B71C2">
      <w:pPr>
        <w:spacing w:line="348" w:lineRule="auto"/>
        <w:ind w:firstLine="420" w:firstLineChars="200"/>
        <w:rPr>
          <w:rFonts w:hint="eastAsia" w:ascii="宋体" w:hAnsi="宋体" w:eastAsia="宋体" w:cstheme="minorEastAsia"/>
          <w:b w:val="0"/>
          <w:bCs w:val="0"/>
          <w:snapToGrid w:val="0"/>
          <w:color w:val="auto"/>
          <w:kern w:val="0"/>
          <w:szCs w:val="21"/>
          <w:highlight w:val="none"/>
          <w:lang w:eastAsia="zh-CN"/>
        </w:rPr>
      </w:pPr>
      <w:r>
        <w:rPr>
          <w:rFonts w:hint="eastAsia" w:ascii="宋体" w:hAnsi="宋体" w:eastAsia="宋体" w:cstheme="minorEastAsia"/>
          <w:b w:val="0"/>
          <w:bCs w:val="0"/>
          <w:color w:val="auto"/>
          <w:szCs w:val="21"/>
          <w:highlight w:val="none"/>
        </w:rPr>
        <w:t>9.3</w:t>
      </w:r>
      <w:bookmarkStart w:id="472" w:name="_Toc21173"/>
      <w:r>
        <w:rPr>
          <w:rFonts w:hint="eastAsia" w:ascii="宋体" w:hAnsi="宋体" w:eastAsia="宋体" w:cstheme="minorEastAsia"/>
          <w:b w:val="0"/>
          <w:bCs w:val="0"/>
          <w:snapToGrid w:val="0"/>
          <w:color w:val="auto"/>
          <w:kern w:val="0"/>
          <w:szCs w:val="21"/>
          <w:highlight w:val="none"/>
        </w:rPr>
        <w:t>阀门及附属设备</w:t>
      </w:r>
      <w:bookmarkEnd w:id="472"/>
      <w:r>
        <w:rPr>
          <w:rFonts w:hint="eastAsia" w:ascii="宋体" w:hAnsi="宋体" w:eastAsia="宋体" w:cstheme="minorEastAsia"/>
          <w:b w:val="0"/>
          <w:bCs w:val="0"/>
          <w:snapToGrid w:val="0"/>
          <w:color w:val="auto"/>
          <w:kern w:val="0"/>
          <w:szCs w:val="21"/>
          <w:highlight w:val="none"/>
        </w:rPr>
        <w:t>技术规定</w:t>
      </w:r>
      <w:r>
        <w:rPr>
          <w:rFonts w:hint="eastAsia" w:ascii="宋体" w:hAnsi="宋体" w:eastAsia="宋体" w:cstheme="minorEastAsia"/>
          <w:b w:val="0"/>
          <w:bCs w:val="0"/>
          <w:snapToGrid w:val="0"/>
          <w:color w:val="auto"/>
          <w:kern w:val="0"/>
          <w:szCs w:val="21"/>
          <w:highlight w:val="none"/>
          <w:lang w:eastAsia="zh-CN"/>
        </w:rPr>
        <w:t>。（</w:t>
      </w:r>
      <w:r>
        <w:rPr>
          <w:rFonts w:hint="eastAsia" w:ascii="宋体" w:hAnsi="宋体" w:eastAsia="宋体" w:cstheme="minorEastAsia"/>
          <w:b w:val="0"/>
          <w:bCs w:val="0"/>
          <w:snapToGrid w:val="0"/>
          <w:color w:val="auto"/>
          <w:kern w:val="0"/>
          <w:szCs w:val="21"/>
          <w:highlight w:val="none"/>
          <w:lang w:val="en-US" w:eastAsia="zh-CN"/>
        </w:rPr>
        <w:t>详见第四章</w:t>
      </w:r>
      <w:r>
        <w:rPr>
          <w:rFonts w:hint="eastAsia" w:ascii="宋体" w:hAnsi="宋体" w:eastAsia="宋体" w:cstheme="minorEastAsia"/>
          <w:b w:val="0"/>
          <w:bCs w:val="0"/>
          <w:snapToGrid w:val="0"/>
          <w:color w:val="auto"/>
          <w:kern w:val="0"/>
          <w:szCs w:val="21"/>
          <w:highlight w:val="none"/>
          <w:lang w:eastAsia="zh-CN"/>
        </w:rPr>
        <w:t>）</w:t>
      </w:r>
    </w:p>
    <w:p w14:paraId="50A969F7">
      <w:pPr>
        <w:spacing w:line="348" w:lineRule="auto"/>
        <w:ind w:firstLine="420" w:firstLineChars="200"/>
        <w:rPr>
          <w:rFonts w:hint="default" w:eastAsia="宋体" w:asciiTheme="minorEastAsia" w:hAnsiTheme="minorEastAsia" w:cstheme="minorEastAsia"/>
          <w:b w:val="0"/>
          <w:bCs w:val="0"/>
          <w:color w:val="auto"/>
          <w:szCs w:val="21"/>
          <w:highlight w:val="none"/>
          <w:lang w:val="en-US" w:eastAsia="zh-CN"/>
        </w:rPr>
      </w:pPr>
      <w:r>
        <w:rPr>
          <w:rFonts w:hint="eastAsia" w:ascii="宋体" w:hAnsi="宋体" w:eastAsia="宋体" w:cstheme="minorEastAsia"/>
          <w:b w:val="0"/>
          <w:bCs w:val="0"/>
          <w:color w:val="auto"/>
          <w:szCs w:val="21"/>
          <w:highlight w:val="none"/>
        </w:rPr>
        <w:t>本</w:t>
      </w:r>
      <w:r>
        <w:rPr>
          <w:rFonts w:hint="eastAsia" w:ascii="宋体" w:hAnsi="宋体" w:eastAsia="宋体" w:cstheme="minorEastAsia"/>
          <w:b w:val="0"/>
          <w:bCs w:val="0"/>
          <w:color w:val="auto"/>
          <w:szCs w:val="21"/>
          <w:highlight w:val="none"/>
          <w:lang w:eastAsia="zh-CN"/>
        </w:rPr>
        <w:t>招选</w:t>
      </w:r>
      <w:r>
        <w:rPr>
          <w:rFonts w:hint="eastAsia" w:ascii="宋体" w:hAnsi="宋体" w:eastAsia="宋体" w:cstheme="minorEastAsia"/>
          <w:b w:val="0"/>
          <w:bCs w:val="0"/>
          <w:color w:val="auto"/>
          <w:szCs w:val="21"/>
          <w:highlight w:val="none"/>
        </w:rPr>
        <w:t>项目</w:t>
      </w:r>
      <w:r>
        <w:rPr>
          <w:rFonts w:hint="eastAsia" w:ascii="宋体" w:hAnsi="宋体" w:eastAsia="宋体" w:cstheme="minorEastAsia"/>
          <w:b w:val="0"/>
          <w:bCs w:val="0"/>
          <w:color w:val="auto"/>
          <w:szCs w:val="21"/>
          <w:highlight w:val="none"/>
          <w:lang w:val="en-US" w:eastAsia="zh-CN"/>
        </w:rPr>
        <w:t>所有采购的产品应满足第四章“合同技术标准和要求”的相关规定。</w:t>
      </w:r>
    </w:p>
    <w:p w14:paraId="0EB6CEC0">
      <w:pPr>
        <w:pStyle w:val="62"/>
        <w:bidi w:val="0"/>
        <w:rPr>
          <w:rFonts w:hint="eastAsia"/>
          <w:color w:val="auto"/>
          <w:highlight w:val="none"/>
        </w:rPr>
      </w:pPr>
    </w:p>
    <w:p w14:paraId="7D22BB5A">
      <w:pPr>
        <w:rPr>
          <w:rFonts w:hint="eastAsia"/>
          <w:color w:val="auto"/>
          <w:highlight w:val="none"/>
        </w:rPr>
      </w:pPr>
    </w:p>
    <w:p w14:paraId="4CFF5369">
      <w:pPr>
        <w:pStyle w:val="2"/>
        <w:rPr>
          <w:rFonts w:hint="eastAsia"/>
          <w:color w:val="auto"/>
          <w:highlight w:val="none"/>
        </w:rPr>
      </w:pPr>
    </w:p>
    <w:p w14:paraId="098EF0BC">
      <w:pPr>
        <w:pStyle w:val="2"/>
        <w:rPr>
          <w:rFonts w:hint="eastAsia"/>
          <w:color w:val="auto"/>
          <w:highlight w:val="none"/>
        </w:rPr>
      </w:pPr>
    </w:p>
    <w:p w14:paraId="312BD879">
      <w:pPr>
        <w:pStyle w:val="2"/>
        <w:rPr>
          <w:rFonts w:hint="eastAsia"/>
          <w:color w:val="auto"/>
          <w:highlight w:val="none"/>
        </w:rPr>
      </w:pPr>
    </w:p>
    <w:p w14:paraId="72149AA6">
      <w:pPr>
        <w:pStyle w:val="2"/>
        <w:rPr>
          <w:rFonts w:hint="eastAsia"/>
          <w:color w:val="auto"/>
          <w:highlight w:val="none"/>
        </w:rPr>
      </w:pPr>
    </w:p>
    <w:p w14:paraId="2A7D1D4D">
      <w:pPr>
        <w:pStyle w:val="2"/>
        <w:rPr>
          <w:rFonts w:hint="eastAsia"/>
          <w:color w:val="auto"/>
          <w:highlight w:val="none"/>
        </w:rPr>
      </w:pPr>
    </w:p>
    <w:p w14:paraId="429C5588">
      <w:pPr>
        <w:pStyle w:val="2"/>
        <w:rPr>
          <w:rFonts w:hint="eastAsia"/>
          <w:color w:val="auto"/>
          <w:highlight w:val="none"/>
        </w:rPr>
      </w:pPr>
    </w:p>
    <w:p w14:paraId="21440D10">
      <w:pPr>
        <w:pStyle w:val="2"/>
        <w:rPr>
          <w:rFonts w:hint="eastAsia"/>
          <w:color w:val="auto"/>
          <w:highlight w:val="none"/>
        </w:rPr>
      </w:pPr>
    </w:p>
    <w:p w14:paraId="3D3AF510">
      <w:pPr>
        <w:pStyle w:val="62"/>
        <w:bidi w:val="0"/>
        <w:jc w:val="both"/>
        <w:rPr>
          <w:rFonts w:hint="eastAsia"/>
          <w:color w:val="auto"/>
          <w:highlight w:val="none"/>
        </w:rPr>
      </w:pPr>
    </w:p>
    <w:p w14:paraId="23F2A91A">
      <w:pPr>
        <w:rPr>
          <w:rFonts w:hint="eastAsia"/>
          <w:color w:val="auto"/>
          <w:highlight w:val="none"/>
        </w:rPr>
      </w:pPr>
    </w:p>
    <w:p w14:paraId="2B00D0B9">
      <w:pPr>
        <w:pStyle w:val="62"/>
        <w:bidi w:val="0"/>
        <w:rPr>
          <w:color w:val="auto"/>
          <w:highlight w:val="none"/>
        </w:rPr>
      </w:pPr>
      <w:bookmarkStart w:id="473" w:name="_Toc9303"/>
      <w:bookmarkStart w:id="474" w:name="_Toc6912"/>
      <w:bookmarkStart w:id="475" w:name="_Toc14899"/>
      <w:bookmarkStart w:id="476" w:name="_Toc22661"/>
      <w:r>
        <w:rPr>
          <w:rFonts w:hint="eastAsia"/>
          <w:color w:val="auto"/>
          <w:highlight w:val="none"/>
        </w:rPr>
        <w:t>第三章 评</w:t>
      </w:r>
      <w:r>
        <w:rPr>
          <w:rFonts w:hint="eastAsia"/>
          <w:color w:val="auto"/>
          <w:highlight w:val="none"/>
          <w:lang w:val="en-US" w:eastAsia="zh-CN"/>
        </w:rPr>
        <w:t>选</w:t>
      </w:r>
      <w:r>
        <w:rPr>
          <w:rFonts w:hint="eastAsia"/>
          <w:color w:val="auto"/>
          <w:highlight w:val="none"/>
        </w:rPr>
        <w:t>办法（最低价中</w:t>
      </w:r>
      <w:r>
        <w:rPr>
          <w:rFonts w:hint="eastAsia"/>
          <w:color w:val="auto"/>
          <w:highlight w:val="none"/>
          <w:lang w:val="en-US" w:eastAsia="zh-CN"/>
        </w:rPr>
        <w:t>选</w:t>
      </w:r>
      <w:r>
        <w:rPr>
          <w:rFonts w:hint="eastAsia"/>
          <w:color w:val="auto"/>
          <w:highlight w:val="none"/>
        </w:rPr>
        <w:t>法）</w:t>
      </w:r>
      <w:bookmarkEnd w:id="473"/>
      <w:bookmarkEnd w:id="474"/>
      <w:bookmarkEnd w:id="475"/>
      <w:bookmarkEnd w:id="476"/>
    </w:p>
    <w:p w14:paraId="0C2EC8E1">
      <w:pPr>
        <w:keepNext/>
        <w:keepLines/>
        <w:adjustRightInd w:val="0"/>
        <w:snapToGrid w:val="0"/>
        <w:outlineLvl w:val="0"/>
        <w:rPr>
          <w:rFonts w:asciiTheme="majorEastAsia" w:hAnsiTheme="majorEastAsia"/>
          <w:color w:val="auto"/>
          <w:sz w:val="24"/>
          <w:szCs w:val="24"/>
          <w:highlight w:val="none"/>
        </w:rPr>
      </w:pPr>
      <w:bookmarkStart w:id="477" w:name="_Toc120110840"/>
      <w:r>
        <w:rPr>
          <w:rFonts w:hint="eastAsia" w:asciiTheme="majorEastAsia" w:hAnsiTheme="majorEastAsia"/>
          <w:color w:val="auto"/>
          <w:sz w:val="24"/>
          <w:szCs w:val="24"/>
          <w:highlight w:val="none"/>
          <w:lang w:val="en-US" w:eastAsia="zh-CN"/>
        </w:rPr>
        <w:t>一、</w:t>
      </w:r>
      <w:r>
        <w:rPr>
          <w:rFonts w:hint="eastAsia" w:asciiTheme="majorEastAsia" w:hAnsiTheme="majorEastAsia"/>
          <w:color w:val="auto"/>
          <w:sz w:val="24"/>
          <w:szCs w:val="24"/>
          <w:highlight w:val="none"/>
        </w:rPr>
        <w:t>评</w:t>
      </w:r>
      <w:r>
        <w:rPr>
          <w:rFonts w:hint="eastAsia" w:asciiTheme="majorEastAsia" w:hAnsiTheme="majorEastAsia"/>
          <w:color w:val="auto"/>
          <w:sz w:val="24"/>
          <w:szCs w:val="24"/>
          <w:highlight w:val="none"/>
          <w:lang w:val="en-US" w:eastAsia="zh-CN"/>
        </w:rPr>
        <w:t>选</w:t>
      </w:r>
      <w:r>
        <w:rPr>
          <w:rFonts w:hint="eastAsia" w:asciiTheme="majorEastAsia" w:hAnsiTheme="majorEastAsia"/>
          <w:color w:val="auto"/>
          <w:sz w:val="24"/>
          <w:szCs w:val="24"/>
          <w:highlight w:val="none"/>
        </w:rPr>
        <w:t>方法</w:t>
      </w:r>
      <w:bookmarkEnd w:id="477"/>
    </w:p>
    <w:p w14:paraId="22B4EC3E">
      <w:pPr>
        <w:spacing w:line="380" w:lineRule="exact"/>
        <w:ind w:firstLine="420" w:firstLineChars="200"/>
        <w:outlineLvl w:val="1"/>
        <w:rPr>
          <w:rFonts w:hint="eastAsia" w:ascii="宋体" w:hAnsi="宋体"/>
          <w:b w:val="0"/>
          <w:bCs w:val="0"/>
          <w:color w:val="auto"/>
          <w:highlight w:val="none"/>
        </w:rPr>
      </w:pPr>
      <w:bookmarkStart w:id="478" w:name="_Toc459841961"/>
      <w:bookmarkStart w:id="479" w:name="_Toc449513804"/>
      <w:bookmarkStart w:id="480" w:name="_Toc120110841"/>
      <w:bookmarkStart w:id="481" w:name="_Toc439237952"/>
      <w:bookmarkStart w:id="482" w:name="_Toc439237583"/>
      <w:bookmarkStart w:id="483" w:name="_Toc109888267"/>
      <w:bookmarkStart w:id="484" w:name="_Toc459238501"/>
      <w:r>
        <w:rPr>
          <w:rFonts w:hint="eastAsia" w:ascii="宋体" w:hAnsi="宋体"/>
          <w:b w:val="0"/>
          <w:bCs w:val="0"/>
          <w:color w:val="auto"/>
          <w:highlight w:val="none"/>
        </w:rPr>
        <w:t>在全部满足</w:t>
      </w:r>
      <w:r>
        <w:rPr>
          <w:rFonts w:hint="eastAsia" w:ascii="宋体" w:hAnsi="宋体"/>
          <w:b w:val="0"/>
          <w:bCs w:val="0"/>
          <w:color w:val="auto"/>
          <w:highlight w:val="none"/>
          <w:lang w:val="en-US" w:eastAsia="zh-CN"/>
        </w:rPr>
        <w:t>参选</w:t>
      </w:r>
      <w:r>
        <w:rPr>
          <w:rFonts w:hint="eastAsia" w:ascii="宋体" w:hAnsi="宋体"/>
          <w:b w:val="0"/>
          <w:bCs w:val="0"/>
          <w:color w:val="auto"/>
          <w:highlight w:val="none"/>
        </w:rPr>
        <w:t>文件实质性要求前提下依据统一的价格要素评定最低报价</w:t>
      </w:r>
      <w:r>
        <w:rPr>
          <w:rFonts w:hint="eastAsia" w:ascii="宋体" w:hAnsi="宋体"/>
          <w:b w:val="0"/>
          <w:bCs w:val="0"/>
          <w:color w:val="auto"/>
          <w:highlight w:val="none"/>
          <w:lang w:eastAsia="zh-CN"/>
        </w:rPr>
        <w:t>，</w:t>
      </w:r>
      <w:r>
        <w:rPr>
          <w:rFonts w:hint="eastAsia" w:ascii="宋体" w:hAnsi="宋体"/>
          <w:b w:val="0"/>
          <w:bCs w:val="0"/>
          <w:color w:val="auto"/>
          <w:highlight w:val="none"/>
        </w:rPr>
        <w:t>以报价最低的合格</w:t>
      </w:r>
      <w:r>
        <w:rPr>
          <w:rFonts w:hint="eastAsia" w:ascii="宋体" w:hAnsi="宋体"/>
          <w:b w:val="0"/>
          <w:bCs w:val="0"/>
          <w:color w:val="auto"/>
          <w:highlight w:val="none"/>
          <w:lang w:val="en-US" w:eastAsia="zh-CN"/>
        </w:rPr>
        <w:t>参选</w:t>
      </w:r>
      <w:r>
        <w:rPr>
          <w:rFonts w:hint="eastAsia" w:ascii="宋体" w:hAnsi="宋体"/>
          <w:b w:val="0"/>
          <w:bCs w:val="0"/>
          <w:color w:val="auto"/>
          <w:highlight w:val="none"/>
        </w:rPr>
        <w:t>人为中</w:t>
      </w:r>
      <w:r>
        <w:rPr>
          <w:rFonts w:hint="eastAsia" w:ascii="宋体" w:hAnsi="宋体"/>
          <w:b w:val="0"/>
          <w:bCs w:val="0"/>
          <w:color w:val="auto"/>
          <w:highlight w:val="none"/>
          <w:lang w:val="en-US" w:eastAsia="zh-CN"/>
        </w:rPr>
        <w:t>选</w:t>
      </w:r>
      <w:r>
        <w:rPr>
          <w:rFonts w:hint="eastAsia" w:ascii="宋体" w:hAnsi="宋体"/>
          <w:b w:val="0"/>
          <w:bCs w:val="0"/>
          <w:color w:val="auto"/>
          <w:highlight w:val="none"/>
        </w:rPr>
        <w:t>人。若出现2家或2家以上最低报价相同时，</w:t>
      </w:r>
      <w:r>
        <w:rPr>
          <w:rFonts w:hint="eastAsia" w:ascii="宋体" w:hAnsi="宋体"/>
          <w:b w:val="0"/>
          <w:bCs w:val="0"/>
          <w:color w:val="auto"/>
          <w:highlight w:val="none"/>
          <w:lang w:val="en-US" w:eastAsia="zh-CN"/>
        </w:rPr>
        <w:t>以参选人提供的同类项目业绩规模多者为中选人</w:t>
      </w:r>
      <w:r>
        <w:rPr>
          <w:rFonts w:hint="eastAsia" w:ascii="宋体" w:hAnsi="宋体"/>
          <w:b w:val="0"/>
          <w:bCs w:val="0"/>
          <w:color w:val="auto"/>
          <w:highlight w:val="none"/>
        </w:rPr>
        <w:t>。</w:t>
      </w:r>
    </w:p>
    <w:p w14:paraId="409E6B80">
      <w:pPr>
        <w:pStyle w:val="36"/>
        <w:rPr>
          <w:rFonts w:hint="eastAsia"/>
          <w:b w:val="0"/>
          <w:bCs w:val="0"/>
          <w:color w:val="auto"/>
          <w:highlight w:val="none"/>
          <w:lang w:val="en-US" w:eastAsia="zh-CN"/>
        </w:rPr>
      </w:pPr>
    </w:p>
    <w:p w14:paraId="3B7A927B">
      <w:pPr>
        <w:numPr>
          <w:ilvl w:val="0"/>
          <w:numId w:val="3"/>
        </w:numPr>
        <w:spacing w:line="420" w:lineRule="exact"/>
        <w:outlineLvl w:val="1"/>
        <w:rPr>
          <w:color w:val="auto"/>
          <w:highlight w:val="none"/>
        </w:rPr>
      </w:pPr>
      <w:r>
        <w:rPr>
          <w:rFonts w:hint="eastAsia" w:ascii="宋体" w:hAnsi="宋体" w:cs="宋体"/>
          <w:bCs/>
          <w:color w:val="auto"/>
          <w:sz w:val="24"/>
          <w:szCs w:val="24"/>
          <w:highlight w:val="none"/>
        </w:rPr>
        <w:t>评审小组组成</w:t>
      </w:r>
      <w:bookmarkEnd w:id="478"/>
      <w:bookmarkEnd w:id="479"/>
      <w:bookmarkEnd w:id="480"/>
      <w:bookmarkEnd w:id="481"/>
      <w:bookmarkEnd w:id="482"/>
      <w:bookmarkEnd w:id="483"/>
      <w:bookmarkEnd w:id="484"/>
    </w:p>
    <w:p w14:paraId="16E4B386">
      <w:pPr>
        <w:spacing w:line="420" w:lineRule="exact"/>
        <w:ind w:firstLine="420" w:firstLineChars="200"/>
        <w:rPr>
          <w:rFonts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本</w:t>
      </w:r>
      <w:r>
        <w:rPr>
          <w:rFonts w:hint="eastAsia" w:ascii="宋体" w:hAnsi="宋体" w:cs="宋体"/>
          <w:color w:val="auto"/>
          <w:szCs w:val="21"/>
          <w:highlight w:val="none"/>
          <w:lang w:val="en-US" w:eastAsia="zh-CN"/>
        </w:rPr>
        <w:t>招选</w:t>
      </w:r>
      <w:r>
        <w:rPr>
          <w:rFonts w:hint="eastAsia" w:ascii="宋体" w:hAnsi="宋体" w:cs="宋体"/>
          <w:color w:val="auto"/>
          <w:szCs w:val="21"/>
          <w:highlight w:val="none"/>
        </w:rPr>
        <w:t>项目的评选由公司组建的评审小组负责。</w:t>
      </w:r>
    </w:p>
    <w:p w14:paraId="6E57BE66">
      <w:pPr>
        <w:spacing w:line="420" w:lineRule="exact"/>
        <w:ind w:firstLine="420" w:firstLineChars="20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评审小组组成</w:t>
      </w:r>
    </w:p>
    <w:p w14:paraId="6BF644C5">
      <w:pPr>
        <w:spacing w:line="4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（1）评审小组由公司工程管理与法务部、市场发展部等有关人员共5人组成。</w:t>
      </w:r>
      <w:r>
        <w:rPr>
          <w:rFonts w:hint="eastAsia" w:ascii="宋体" w:hAnsi="宋体" w:cs="宋体"/>
          <w:color w:val="auto"/>
          <w:szCs w:val="21"/>
          <w:highlight w:val="none"/>
          <w:lang w:val="en-US" w:eastAsia="zh-CN"/>
        </w:rPr>
        <w:t>审计部</w:t>
      </w:r>
      <w:r>
        <w:rPr>
          <w:rFonts w:hint="eastAsia" w:ascii="宋体" w:hAnsi="宋体" w:cs="宋体"/>
          <w:color w:val="auto"/>
          <w:szCs w:val="21"/>
          <w:highlight w:val="none"/>
        </w:rPr>
        <w:t>作为此次评</w:t>
      </w:r>
      <w:r>
        <w:rPr>
          <w:rFonts w:hint="eastAsia" w:ascii="宋体" w:hAnsi="宋体" w:cs="宋体"/>
          <w:color w:val="auto"/>
          <w:szCs w:val="21"/>
          <w:highlight w:val="none"/>
          <w:lang w:val="en-US" w:eastAsia="zh-CN"/>
        </w:rPr>
        <w:t>选</w:t>
      </w:r>
      <w:r>
        <w:rPr>
          <w:rFonts w:hint="eastAsia" w:ascii="宋体" w:hAnsi="宋体" w:cs="宋体"/>
          <w:color w:val="auto"/>
          <w:szCs w:val="21"/>
          <w:highlight w:val="none"/>
        </w:rPr>
        <w:t>的监督部门参加。</w:t>
      </w:r>
    </w:p>
    <w:p w14:paraId="4A99015B">
      <w:pPr>
        <w:spacing w:line="4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（2）评审小组组长由工程管理与法务部负责人担任。</w:t>
      </w:r>
    </w:p>
    <w:p w14:paraId="211DF34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2.3</w:t>
      </w:r>
      <w:r>
        <w:rPr>
          <w:rFonts w:hint="eastAsia" w:ascii="宋体" w:hAnsi="宋体" w:cs="宋体"/>
          <w:color w:val="auto"/>
          <w:szCs w:val="21"/>
          <w:highlight w:val="none"/>
        </w:rPr>
        <w:t>.评审小组成员回避原则，有下列情形之一的评审小组成员应当主动提出回避：</w:t>
      </w:r>
    </w:p>
    <w:p w14:paraId="57F10371">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（1）</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人或</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人主要负责人的近亲属；</w:t>
      </w:r>
    </w:p>
    <w:p w14:paraId="52607BF5">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w:t>
      </w:r>
      <w:r>
        <w:rPr>
          <w:rFonts w:asciiTheme="minorEastAsia" w:hAnsiTheme="minorEastAsia"/>
          <w:color w:val="auto"/>
          <w:szCs w:val="21"/>
          <w:highlight w:val="none"/>
        </w:rPr>
        <w:t>2</w:t>
      </w:r>
      <w:r>
        <w:rPr>
          <w:rFonts w:hint="eastAsia" w:asciiTheme="minorEastAsia" w:hAnsiTheme="minorEastAsia"/>
          <w:color w:val="auto"/>
          <w:szCs w:val="21"/>
          <w:highlight w:val="none"/>
        </w:rPr>
        <w:t>）与</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人有经济利益关系，可能影响公正评审的；</w:t>
      </w:r>
    </w:p>
    <w:p w14:paraId="35153248">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w:t>
      </w:r>
      <w:r>
        <w:rPr>
          <w:rFonts w:asciiTheme="minorEastAsia" w:hAnsiTheme="minorEastAsia"/>
          <w:color w:val="auto"/>
          <w:szCs w:val="21"/>
          <w:highlight w:val="none"/>
        </w:rPr>
        <w:t>3</w:t>
      </w:r>
      <w:r>
        <w:rPr>
          <w:rFonts w:hint="eastAsia" w:asciiTheme="minorEastAsia" w:hAnsiTheme="minorEastAsia"/>
          <w:color w:val="auto"/>
          <w:szCs w:val="21"/>
          <w:highlight w:val="none"/>
        </w:rPr>
        <w:t>）曾因在招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、评</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以及其他与招</w:t>
      </w:r>
      <w:r>
        <w:rPr>
          <w:rFonts w:hint="eastAsia" w:asciiTheme="minorEastAsia" w:hAnsiTheme="minorEastAsia"/>
          <w:color w:val="auto"/>
          <w:szCs w:val="21"/>
          <w:highlight w:val="none"/>
          <w:lang w:val="en-US" w:eastAsia="zh-CN"/>
        </w:rPr>
        <w:t>选</w:t>
      </w:r>
      <w:r>
        <w:rPr>
          <w:rFonts w:hint="eastAsia" w:asciiTheme="minorEastAsia" w:hAnsiTheme="minorEastAsia"/>
          <w:color w:val="auto"/>
          <w:szCs w:val="21"/>
          <w:highlight w:val="none"/>
        </w:rPr>
        <w:t>有关活动中从事违法行为而受过行政处罚或刑事处罚的；</w:t>
      </w:r>
    </w:p>
    <w:p w14:paraId="155B3BD3">
      <w:pPr>
        <w:widowControl/>
        <w:shd w:val="clear" w:color="auto" w:fill="FFFFFF"/>
        <w:snapToGrid w:val="0"/>
        <w:spacing w:line="360" w:lineRule="auto"/>
        <w:ind w:firstLine="420" w:firstLineChars="200"/>
        <w:jc w:val="left"/>
        <w:rPr>
          <w:rFonts w:asciiTheme="minorEastAsia" w:hAnsiTheme="minorEastAsia"/>
          <w:color w:val="auto"/>
          <w:szCs w:val="21"/>
          <w:highlight w:val="none"/>
        </w:rPr>
      </w:pPr>
      <w:r>
        <w:rPr>
          <w:rFonts w:hint="eastAsia" w:asciiTheme="minorEastAsia" w:hAnsiTheme="minorEastAsia"/>
          <w:color w:val="auto"/>
          <w:szCs w:val="21"/>
          <w:highlight w:val="none"/>
        </w:rPr>
        <w:t>（</w:t>
      </w:r>
      <w:r>
        <w:rPr>
          <w:rFonts w:asciiTheme="minorEastAsia" w:hAnsiTheme="minorEastAsia"/>
          <w:color w:val="auto"/>
          <w:szCs w:val="21"/>
          <w:highlight w:val="none"/>
        </w:rPr>
        <w:t>4</w:t>
      </w:r>
      <w:r>
        <w:rPr>
          <w:rFonts w:hint="eastAsia" w:asciiTheme="minorEastAsia" w:hAnsiTheme="minorEastAsia"/>
          <w:color w:val="auto"/>
          <w:szCs w:val="21"/>
          <w:highlight w:val="none"/>
        </w:rPr>
        <w:t>）与</w:t>
      </w:r>
      <w:r>
        <w:rPr>
          <w:rFonts w:hint="eastAsia" w:asciiTheme="minorEastAsia" w:hAnsiTheme="minorEastAsia"/>
          <w:color w:val="auto"/>
          <w:szCs w:val="21"/>
          <w:highlight w:val="none"/>
          <w:lang w:val="en-US" w:eastAsia="zh-CN"/>
        </w:rPr>
        <w:t>参选</w:t>
      </w:r>
      <w:r>
        <w:rPr>
          <w:rFonts w:hint="eastAsia" w:asciiTheme="minorEastAsia" w:hAnsiTheme="minorEastAsia"/>
          <w:color w:val="auto"/>
          <w:szCs w:val="21"/>
          <w:highlight w:val="none"/>
        </w:rPr>
        <w:t>人有其他利害关系。</w:t>
      </w:r>
    </w:p>
    <w:p w14:paraId="3CBBA582">
      <w:pPr>
        <w:spacing w:line="420" w:lineRule="exact"/>
        <w:ind w:firstLine="420" w:firstLineChars="200"/>
        <w:rPr>
          <w:rFonts w:ascii="宋体" w:hAnsi="宋体" w:cs="宋体"/>
          <w:color w:val="auto"/>
          <w:szCs w:val="21"/>
          <w:highlight w:val="none"/>
        </w:rPr>
      </w:pPr>
      <w:r>
        <w:rPr>
          <w:rFonts w:ascii="宋体" w:hAnsi="宋体" w:cs="宋体"/>
          <w:color w:val="auto"/>
          <w:szCs w:val="21"/>
          <w:highlight w:val="none"/>
        </w:rPr>
        <w:t>2.4</w:t>
      </w:r>
      <w:r>
        <w:rPr>
          <w:rFonts w:hint="eastAsia" w:ascii="宋体" w:hAnsi="宋体" w:cs="宋体"/>
          <w:color w:val="auto"/>
          <w:szCs w:val="21"/>
          <w:highlight w:val="none"/>
        </w:rPr>
        <w:t>评审小组在评选过程中应当遵守下列规定：</w:t>
      </w:r>
    </w:p>
    <w:p w14:paraId="372A354F">
      <w:pPr>
        <w:spacing w:line="4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 评审小组成员享有依据招</w:t>
      </w:r>
      <w:r>
        <w:rPr>
          <w:rFonts w:hint="eastAsia" w:ascii="宋体" w:hAnsi="宋体" w:cs="宋体"/>
          <w:color w:val="auto"/>
          <w:szCs w:val="21"/>
          <w:highlight w:val="none"/>
          <w:lang w:eastAsia="zh-CN"/>
        </w:rPr>
        <w:t>选</w:t>
      </w:r>
      <w:r>
        <w:rPr>
          <w:rFonts w:hint="eastAsia" w:ascii="宋体" w:hAnsi="宋体" w:cs="宋体"/>
          <w:color w:val="auto"/>
          <w:szCs w:val="21"/>
          <w:highlight w:val="none"/>
        </w:rPr>
        <w:t>文件规定的评选标准方法对参选文件进行评审、充分发表自己的评审意见并可保留自己的评审意见，评选不受任何干预，但招</w:t>
      </w:r>
      <w:r>
        <w:rPr>
          <w:rFonts w:hint="eastAsia" w:ascii="宋体" w:hAnsi="宋体" w:cs="宋体"/>
          <w:color w:val="auto"/>
          <w:szCs w:val="21"/>
          <w:highlight w:val="none"/>
          <w:lang w:eastAsia="zh-CN"/>
        </w:rPr>
        <w:t>选</w:t>
      </w:r>
      <w:r>
        <w:rPr>
          <w:rFonts w:hint="eastAsia" w:ascii="宋体" w:hAnsi="宋体" w:cs="宋体"/>
          <w:color w:val="auto"/>
          <w:szCs w:val="21"/>
          <w:highlight w:val="none"/>
        </w:rPr>
        <w:t>文件没有规定的评选标准方法，不得作为评选依据。</w:t>
      </w:r>
    </w:p>
    <w:p w14:paraId="5855AF72">
      <w:pPr>
        <w:spacing w:line="4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（2）评审小组组长与评审小组其他成员享有同等的表决权。</w:t>
      </w:r>
    </w:p>
    <w:p w14:paraId="2C95C671">
      <w:pPr>
        <w:spacing w:line="420" w:lineRule="exact"/>
        <w:ind w:firstLine="420" w:firstLineChars="200"/>
        <w:rPr>
          <w:rFonts w:ascii="宋体" w:hAnsi="宋体" w:cs="宋体"/>
          <w:szCs w:val="21"/>
        </w:rPr>
      </w:pPr>
      <w:r>
        <w:rPr>
          <w:rFonts w:hint="eastAsia" w:ascii="宋体" w:hAnsi="宋体" w:cs="宋体"/>
          <w:szCs w:val="21"/>
        </w:rPr>
        <w:t>（3） 评审小组成员应在评选前应认真审阅招</w:t>
      </w:r>
      <w:r>
        <w:rPr>
          <w:rFonts w:hint="eastAsia" w:ascii="宋体" w:hAnsi="宋体" w:cs="宋体"/>
          <w:szCs w:val="21"/>
          <w:lang w:eastAsia="zh-CN"/>
        </w:rPr>
        <w:t>选</w:t>
      </w:r>
      <w:r>
        <w:rPr>
          <w:rFonts w:hint="eastAsia" w:ascii="宋体" w:hAnsi="宋体" w:cs="宋体"/>
          <w:szCs w:val="21"/>
        </w:rPr>
        <w:t>文件并认真评审所有的参选文件。</w:t>
      </w:r>
    </w:p>
    <w:p w14:paraId="079984C1">
      <w:pPr>
        <w:spacing w:line="420" w:lineRule="exact"/>
        <w:ind w:firstLine="420" w:firstLineChars="200"/>
        <w:rPr>
          <w:rFonts w:ascii="宋体" w:hAnsi="宋体" w:cs="宋体"/>
          <w:szCs w:val="21"/>
        </w:rPr>
      </w:pPr>
      <w:r>
        <w:rPr>
          <w:rFonts w:hint="eastAsia" w:ascii="宋体" w:hAnsi="宋体" w:cs="宋体"/>
          <w:szCs w:val="21"/>
        </w:rPr>
        <w:t>（4）招</w:t>
      </w:r>
      <w:r>
        <w:rPr>
          <w:rFonts w:hint="eastAsia" w:ascii="宋体" w:hAnsi="宋体" w:cs="宋体"/>
          <w:szCs w:val="21"/>
          <w:lang w:eastAsia="zh-CN"/>
        </w:rPr>
        <w:t>选</w:t>
      </w:r>
      <w:r>
        <w:rPr>
          <w:rFonts w:hint="eastAsia" w:ascii="宋体" w:hAnsi="宋体" w:cs="宋体"/>
          <w:szCs w:val="21"/>
        </w:rPr>
        <w:t>文件条款存在含义不清或者相互矛盾的，评审小组应当针对相应条款作出有利于相应</w:t>
      </w:r>
      <w:r>
        <w:rPr>
          <w:rFonts w:hint="eastAsia" w:ascii="宋体" w:hAnsi="宋体" w:cs="宋体"/>
          <w:szCs w:val="21"/>
          <w:lang w:val="en-US" w:eastAsia="zh-CN"/>
        </w:rPr>
        <w:t>参选</w:t>
      </w:r>
      <w:r>
        <w:rPr>
          <w:rFonts w:hint="eastAsia" w:ascii="宋体" w:hAnsi="宋体" w:cs="宋体"/>
          <w:szCs w:val="21"/>
        </w:rPr>
        <w:t>人的结论。</w:t>
      </w:r>
    </w:p>
    <w:p w14:paraId="4C997BED">
      <w:pPr>
        <w:spacing w:line="420" w:lineRule="exact"/>
        <w:ind w:firstLine="420" w:firstLineChars="200"/>
        <w:rPr>
          <w:rFonts w:ascii="宋体" w:hAnsi="宋体" w:cs="宋体"/>
          <w:szCs w:val="21"/>
        </w:rPr>
      </w:pPr>
      <w:r>
        <w:rPr>
          <w:rFonts w:hint="eastAsia" w:ascii="宋体" w:hAnsi="宋体" w:cs="宋体"/>
          <w:szCs w:val="21"/>
        </w:rPr>
        <w:t>（5） 评审小组对同一</w:t>
      </w:r>
      <w:r>
        <w:rPr>
          <w:rFonts w:hint="eastAsia" w:ascii="宋体" w:hAnsi="宋体" w:cs="宋体"/>
          <w:szCs w:val="21"/>
          <w:lang w:val="en-US" w:eastAsia="zh-CN"/>
        </w:rPr>
        <w:t>招选</w:t>
      </w:r>
      <w:r>
        <w:rPr>
          <w:rFonts w:hint="eastAsia" w:ascii="宋体" w:hAnsi="宋体" w:cs="宋体"/>
          <w:szCs w:val="21"/>
        </w:rPr>
        <w:t>项目只能做出一种评选结论，评审小组成员对评选结论如有异议，按照少数服从多数的原则比票表决，实行一人一票，并经评审小组成员2/3通过。对评选结论持有异议的评审小组成员可以书面方式阐述其不同意见和理由。评审小组成员不得拒绝在评选报告上签字，如有不同意见和理由应当在评选报告中陈述，否则，视为同意评选结论。</w:t>
      </w:r>
    </w:p>
    <w:p w14:paraId="7B766219">
      <w:pPr>
        <w:spacing w:line="420" w:lineRule="exact"/>
        <w:ind w:firstLine="420" w:firstLineChars="200"/>
        <w:rPr>
          <w:rFonts w:ascii="宋体" w:hAnsi="宋体" w:cs="宋体"/>
          <w:szCs w:val="21"/>
        </w:rPr>
      </w:pPr>
      <w:r>
        <w:rPr>
          <w:rFonts w:hint="eastAsia" w:ascii="宋体" w:hAnsi="宋体" w:cs="宋体"/>
          <w:szCs w:val="21"/>
        </w:rPr>
        <w:t xml:space="preserve">（6） 评审小组在评选过程中发现的问题，应当及时作出处理或者向公司提出处理建议，并作出书面记录，发现有违反“公开、公平、公正和诚实信用”的情况应当向监督部门反映。 </w:t>
      </w:r>
    </w:p>
    <w:p w14:paraId="7449A262">
      <w:pPr>
        <w:spacing w:line="420" w:lineRule="exact"/>
        <w:ind w:firstLine="420" w:firstLineChars="200"/>
        <w:rPr>
          <w:rFonts w:ascii="宋体" w:hAnsi="宋体" w:cs="宋体"/>
          <w:szCs w:val="21"/>
        </w:rPr>
      </w:pPr>
      <w:r>
        <w:rPr>
          <w:rFonts w:hint="eastAsia" w:ascii="宋体" w:hAnsi="宋体" w:cs="宋体"/>
          <w:szCs w:val="21"/>
        </w:rPr>
        <w:t>（7） 评审小组成员应当客观公正地履行职责，遵守职业道德并对所提出的评审意见承担个人责任。</w:t>
      </w:r>
    </w:p>
    <w:p w14:paraId="73DE21E0">
      <w:pPr>
        <w:spacing w:line="420" w:lineRule="exact"/>
        <w:ind w:firstLine="420" w:firstLineChars="200"/>
        <w:rPr>
          <w:rFonts w:ascii="宋体" w:hAnsi="宋体" w:cs="宋体"/>
          <w:szCs w:val="21"/>
        </w:rPr>
      </w:pPr>
      <w:r>
        <w:rPr>
          <w:rFonts w:hint="eastAsia" w:ascii="宋体" w:hAnsi="宋体" w:cs="宋体"/>
          <w:szCs w:val="21"/>
        </w:rPr>
        <w:t>（8）评审小组成员不得与任何</w:t>
      </w:r>
      <w:r>
        <w:rPr>
          <w:rFonts w:hint="eastAsia" w:ascii="宋体" w:hAnsi="宋体" w:cs="宋体"/>
          <w:szCs w:val="21"/>
          <w:lang w:val="en-US" w:eastAsia="zh-CN"/>
        </w:rPr>
        <w:t>参选</w:t>
      </w:r>
      <w:r>
        <w:rPr>
          <w:rFonts w:hint="eastAsia" w:ascii="宋体" w:hAnsi="宋体" w:cs="宋体"/>
          <w:szCs w:val="21"/>
        </w:rPr>
        <w:t>人或者与评</w:t>
      </w:r>
      <w:r>
        <w:rPr>
          <w:rFonts w:hint="eastAsia" w:ascii="宋体" w:hAnsi="宋体" w:cs="宋体"/>
          <w:szCs w:val="21"/>
          <w:lang w:val="en-US" w:eastAsia="zh-CN"/>
        </w:rPr>
        <w:t>选</w:t>
      </w:r>
      <w:r>
        <w:rPr>
          <w:rFonts w:hint="eastAsia" w:ascii="宋体" w:hAnsi="宋体" w:cs="宋体"/>
          <w:szCs w:val="21"/>
        </w:rPr>
        <w:t>结果有利害关系的人进行私下接触，不得收受</w:t>
      </w:r>
      <w:r>
        <w:rPr>
          <w:rFonts w:hint="eastAsia" w:ascii="宋体" w:hAnsi="宋体" w:cs="宋体"/>
          <w:szCs w:val="21"/>
          <w:lang w:val="en-US" w:eastAsia="zh-CN"/>
        </w:rPr>
        <w:t>参选</w:t>
      </w:r>
      <w:r>
        <w:rPr>
          <w:rFonts w:hint="eastAsia" w:ascii="宋体" w:hAnsi="宋体" w:cs="宋体"/>
          <w:szCs w:val="21"/>
        </w:rPr>
        <w:t>人、中介人、其他利害关系人的财物或者其他好处。</w:t>
      </w:r>
    </w:p>
    <w:p w14:paraId="5DFDBB6F">
      <w:pPr>
        <w:spacing w:line="420" w:lineRule="exact"/>
        <w:ind w:firstLine="420" w:firstLineChars="200"/>
        <w:rPr>
          <w:rFonts w:ascii="宋体" w:hAnsi="宋体" w:cs="宋体"/>
          <w:szCs w:val="21"/>
        </w:rPr>
      </w:pPr>
      <w:r>
        <w:rPr>
          <w:rFonts w:hint="eastAsia" w:ascii="宋体" w:hAnsi="宋体" w:cs="宋体"/>
          <w:szCs w:val="21"/>
        </w:rPr>
        <w:t>（9） 评审小组成员和与评选活动有关的工作人员不得透露对</w:t>
      </w:r>
      <w:r>
        <w:rPr>
          <w:rFonts w:hint="eastAsia" w:ascii="宋体" w:hAnsi="宋体" w:cs="宋体"/>
          <w:szCs w:val="21"/>
          <w:lang w:val="en-US" w:eastAsia="zh-CN"/>
        </w:rPr>
        <w:t>参选</w:t>
      </w:r>
      <w:r>
        <w:rPr>
          <w:rFonts w:hint="eastAsia" w:ascii="宋体" w:hAnsi="宋体" w:cs="宋体"/>
          <w:szCs w:val="21"/>
        </w:rPr>
        <w:t>文件的评审和比较，中</w:t>
      </w:r>
      <w:r>
        <w:rPr>
          <w:rFonts w:hint="eastAsia" w:ascii="宋体" w:hAnsi="宋体" w:cs="宋体"/>
          <w:szCs w:val="21"/>
          <w:lang w:val="en-US" w:eastAsia="zh-CN"/>
        </w:rPr>
        <w:t>选</w:t>
      </w:r>
      <w:r>
        <w:rPr>
          <w:rFonts w:hint="eastAsia" w:ascii="宋体" w:hAnsi="宋体" w:cs="宋体"/>
          <w:szCs w:val="21"/>
        </w:rPr>
        <w:t>候选人的推荐情况以及与评选有关的其他情况。</w:t>
      </w:r>
    </w:p>
    <w:p w14:paraId="2AFEE378">
      <w:pPr>
        <w:spacing w:line="420" w:lineRule="exact"/>
        <w:ind w:firstLine="420" w:firstLineChars="200"/>
        <w:rPr>
          <w:rFonts w:ascii="宋体" w:hAnsi="宋体" w:cs="宋体"/>
          <w:szCs w:val="21"/>
        </w:rPr>
      </w:pPr>
      <w:r>
        <w:rPr>
          <w:rFonts w:hint="eastAsia" w:ascii="宋体" w:hAnsi="宋体" w:cs="宋体"/>
          <w:szCs w:val="21"/>
        </w:rPr>
        <w:t>（1</w:t>
      </w:r>
      <w:r>
        <w:rPr>
          <w:rFonts w:ascii="宋体" w:hAnsi="宋体" w:cs="宋体"/>
          <w:szCs w:val="21"/>
        </w:rPr>
        <w:t>0</w:t>
      </w:r>
      <w:r>
        <w:rPr>
          <w:rFonts w:hint="eastAsia" w:ascii="宋体" w:hAnsi="宋体" w:cs="宋体"/>
          <w:szCs w:val="21"/>
        </w:rPr>
        <w:t>）评审小组成员在评选过程中不得擅离职守影响评选程序正常进行，评审活动未结束，无正当理由不得中途退出评审小组。</w:t>
      </w:r>
    </w:p>
    <w:p w14:paraId="29C3E748">
      <w:pPr>
        <w:spacing w:line="420" w:lineRule="exact"/>
        <w:ind w:firstLine="420" w:firstLineChars="200"/>
        <w:rPr>
          <w:rFonts w:ascii="宋体" w:hAnsi="宋体" w:cs="宋体"/>
          <w:szCs w:val="21"/>
        </w:rPr>
      </w:pPr>
      <w:r>
        <w:rPr>
          <w:rFonts w:hint="eastAsia" w:ascii="宋体" w:hAnsi="宋体" w:cs="宋体"/>
          <w:szCs w:val="21"/>
        </w:rPr>
        <w:t>（1</w:t>
      </w:r>
      <w:r>
        <w:rPr>
          <w:rFonts w:ascii="宋体" w:hAnsi="宋体" w:cs="宋体"/>
          <w:szCs w:val="21"/>
        </w:rPr>
        <w:t>1</w:t>
      </w:r>
      <w:r>
        <w:rPr>
          <w:rFonts w:hint="eastAsia" w:ascii="宋体" w:hAnsi="宋体" w:cs="宋体"/>
          <w:szCs w:val="21"/>
        </w:rPr>
        <w:t>） 评审小组及其成员还享有并应遵守有关</w:t>
      </w:r>
      <w:r>
        <w:rPr>
          <w:rFonts w:hint="eastAsia" w:ascii="宋体" w:hAnsi="宋体" w:cs="宋体"/>
          <w:szCs w:val="21"/>
          <w:lang w:eastAsia="zh-CN"/>
        </w:rPr>
        <w:t>法律法规</w:t>
      </w:r>
      <w:r>
        <w:rPr>
          <w:rFonts w:hint="eastAsia" w:ascii="宋体" w:hAnsi="宋体" w:cs="宋体"/>
          <w:szCs w:val="21"/>
        </w:rPr>
        <w:t>、规章等政策法规文件规定的</w:t>
      </w:r>
      <w:r>
        <w:rPr>
          <w:rFonts w:hint="eastAsia" w:ascii="宋体" w:hAnsi="宋体" w:cs="宋体"/>
          <w:szCs w:val="21"/>
          <w:lang w:eastAsia="zh-CN"/>
        </w:rPr>
        <w:t>权利</w:t>
      </w:r>
      <w:r>
        <w:rPr>
          <w:rFonts w:hint="eastAsia" w:ascii="宋体" w:hAnsi="宋体" w:cs="宋体"/>
          <w:szCs w:val="21"/>
        </w:rPr>
        <w:t>、义务和评选纪律。</w:t>
      </w:r>
    </w:p>
    <w:p w14:paraId="106DD5D7">
      <w:pPr>
        <w:spacing w:line="420" w:lineRule="exact"/>
        <w:ind w:firstLine="420" w:firstLineChars="200"/>
        <w:rPr>
          <w:rFonts w:ascii="宋体" w:hAnsi="宋体" w:cs="宋体"/>
          <w:szCs w:val="21"/>
        </w:rPr>
      </w:pPr>
      <w:r>
        <w:rPr>
          <w:rFonts w:hint="eastAsia" w:ascii="宋体" w:hAnsi="宋体" w:cs="宋体"/>
          <w:szCs w:val="21"/>
        </w:rPr>
        <w:t>（1</w:t>
      </w:r>
      <w:r>
        <w:rPr>
          <w:rFonts w:ascii="宋体" w:hAnsi="宋体" w:cs="宋体"/>
          <w:szCs w:val="21"/>
        </w:rPr>
        <w:t>2</w:t>
      </w:r>
      <w:r>
        <w:rPr>
          <w:rFonts w:hint="eastAsia" w:ascii="宋体" w:hAnsi="宋体" w:cs="宋体"/>
          <w:szCs w:val="21"/>
        </w:rPr>
        <w:t>） 评审小组成员有违反以上行为的，将由违反者承担道德、纪律或法律责任。</w:t>
      </w:r>
    </w:p>
    <w:p w14:paraId="46FA2135">
      <w:pPr>
        <w:pStyle w:val="5"/>
        <w:spacing w:line="416" w:lineRule="auto"/>
        <w:rPr>
          <w:rFonts w:ascii="宋体" w:hAnsi="宋体" w:eastAsia="宋体" w:cs="宋体"/>
          <w:b w:val="0"/>
          <w:bCs w:val="0"/>
          <w:sz w:val="24"/>
          <w:szCs w:val="24"/>
        </w:rPr>
      </w:pPr>
      <w:bookmarkStart w:id="485" w:name="_Toc109888268"/>
      <w:bookmarkStart w:id="486" w:name="_Toc449513805"/>
      <w:bookmarkStart w:id="487" w:name="_Toc74668710"/>
      <w:bookmarkStart w:id="488" w:name="_Toc459238502"/>
      <w:bookmarkStart w:id="489" w:name="_Toc459841962"/>
      <w:bookmarkStart w:id="490" w:name="_Toc439237953"/>
      <w:bookmarkStart w:id="491" w:name="_Toc120110842"/>
      <w:bookmarkStart w:id="492" w:name="_Toc439237584"/>
      <w:r>
        <w:rPr>
          <w:rFonts w:hint="eastAsia" w:ascii="宋体" w:hAnsi="宋体" w:eastAsia="宋体" w:cs="宋体"/>
          <w:b w:val="0"/>
          <w:bCs w:val="0"/>
          <w:sz w:val="24"/>
          <w:szCs w:val="24"/>
          <w:lang w:eastAsia="zh-CN"/>
        </w:rPr>
        <w:t>三、</w:t>
      </w:r>
      <w:r>
        <w:rPr>
          <w:rFonts w:hint="eastAsia" w:ascii="宋体" w:hAnsi="宋体" w:eastAsia="宋体" w:cs="宋体"/>
          <w:b w:val="0"/>
          <w:bCs w:val="0"/>
          <w:sz w:val="24"/>
          <w:szCs w:val="24"/>
        </w:rPr>
        <w:t>评选程序</w:t>
      </w:r>
      <w:bookmarkEnd w:id="485"/>
      <w:bookmarkEnd w:id="486"/>
      <w:bookmarkEnd w:id="487"/>
      <w:bookmarkEnd w:id="488"/>
      <w:bookmarkEnd w:id="489"/>
      <w:bookmarkEnd w:id="490"/>
      <w:bookmarkEnd w:id="491"/>
      <w:bookmarkEnd w:id="492"/>
    </w:p>
    <w:p w14:paraId="1DF98D9B">
      <w:pPr>
        <w:spacing w:line="420" w:lineRule="exact"/>
        <w:ind w:firstLine="420" w:firstLineChars="200"/>
        <w:rPr>
          <w:rFonts w:hint="eastAsia" w:ascii="宋体" w:hAnsi="宋体" w:cs="宋体"/>
          <w:szCs w:val="21"/>
        </w:rPr>
      </w:pPr>
      <w:r>
        <w:rPr>
          <w:rFonts w:hint="eastAsia" w:ascii="宋体" w:hAnsi="宋体" w:cs="宋体"/>
          <w:szCs w:val="21"/>
        </w:rPr>
        <w:t>本项目评选将按以下程序进行：</w:t>
      </w:r>
    </w:p>
    <w:p w14:paraId="108CCF65">
      <w:pPr>
        <w:numPr>
          <w:ilvl w:val="0"/>
          <w:numId w:val="4"/>
        </w:numPr>
        <w:spacing w:line="360" w:lineRule="auto"/>
        <w:ind w:left="845" w:leftChars="0" w:hanging="425" w:firstLineChars="0"/>
        <w:rPr>
          <w:rFonts w:ascii="宋体" w:hAnsi="宋体" w:cs="宋体"/>
          <w:szCs w:val="21"/>
        </w:rPr>
      </w:pPr>
      <w:r>
        <w:rPr>
          <w:rFonts w:hint="eastAsia" w:ascii="宋体" w:hAnsi="宋体" w:cs="宋体"/>
          <w:szCs w:val="21"/>
        </w:rPr>
        <w:t>各</w:t>
      </w:r>
      <w:r>
        <w:rPr>
          <w:rFonts w:hint="eastAsia" w:ascii="宋体" w:hAnsi="宋体" w:cs="宋体"/>
          <w:szCs w:val="21"/>
          <w:lang w:val="en-US" w:eastAsia="zh-CN"/>
        </w:rPr>
        <w:t>参选</w:t>
      </w:r>
      <w:r>
        <w:rPr>
          <w:rFonts w:hint="eastAsia" w:ascii="宋体" w:hAnsi="宋体" w:cs="宋体"/>
          <w:szCs w:val="21"/>
        </w:rPr>
        <w:t>人按先后顺序签到；</w:t>
      </w:r>
    </w:p>
    <w:p w14:paraId="59D7217C">
      <w:pPr>
        <w:numPr>
          <w:ilvl w:val="0"/>
          <w:numId w:val="4"/>
        </w:numPr>
        <w:spacing w:line="360" w:lineRule="auto"/>
        <w:ind w:left="845" w:leftChars="0" w:hanging="425" w:firstLineChars="0"/>
        <w:rPr>
          <w:rFonts w:ascii="宋体" w:hAnsi="宋体" w:cs="宋体"/>
          <w:szCs w:val="21"/>
        </w:rPr>
      </w:pPr>
      <w:r>
        <w:rPr>
          <w:rFonts w:hint="eastAsia" w:ascii="宋体" w:hAnsi="宋体" w:cs="宋体"/>
          <w:szCs w:val="21"/>
        </w:rPr>
        <w:t>主持人宣布开选会议开始；</w:t>
      </w:r>
    </w:p>
    <w:p w14:paraId="3D75F8A4">
      <w:pPr>
        <w:numPr>
          <w:ilvl w:val="0"/>
          <w:numId w:val="4"/>
        </w:numPr>
        <w:spacing w:line="360" w:lineRule="auto"/>
        <w:ind w:left="845" w:leftChars="0" w:hanging="425" w:firstLineChars="0"/>
        <w:rPr>
          <w:rFonts w:ascii="宋体" w:hAnsi="宋体" w:cs="宋体"/>
          <w:szCs w:val="21"/>
        </w:rPr>
      </w:pPr>
      <w:r>
        <w:rPr>
          <w:rFonts w:hint="eastAsia" w:ascii="宋体" w:hAnsi="宋体" w:cs="宋体"/>
          <w:szCs w:val="21"/>
        </w:rPr>
        <w:t>主持人介绍参加会议的有关部门和代表；</w:t>
      </w:r>
    </w:p>
    <w:p w14:paraId="20717415">
      <w:pPr>
        <w:numPr>
          <w:ilvl w:val="0"/>
          <w:numId w:val="4"/>
        </w:numPr>
        <w:spacing w:line="360" w:lineRule="auto"/>
        <w:ind w:left="845" w:leftChars="0" w:hanging="425" w:firstLineChars="0"/>
        <w:rPr>
          <w:rFonts w:ascii="宋体" w:hAnsi="宋体" w:cs="宋体"/>
          <w:szCs w:val="21"/>
        </w:rPr>
      </w:pPr>
      <w:r>
        <w:rPr>
          <w:rFonts w:hint="eastAsia" w:ascii="宋体" w:hAnsi="宋体" w:cs="宋体"/>
          <w:szCs w:val="21"/>
        </w:rPr>
        <w:t>主持人宣布开选期间的纪律及有关事项要求；</w:t>
      </w:r>
    </w:p>
    <w:p w14:paraId="55D4132E">
      <w:pPr>
        <w:numPr>
          <w:ilvl w:val="0"/>
          <w:numId w:val="4"/>
        </w:numPr>
        <w:spacing w:line="360" w:lineRule="auto"/>
        <w:ind w:left="845" w:leftChars="0" w:hanging="425" w:firstLineChars="0"/>
        <w:rPr>
          <w:rFonts w:ascii="宋体" w:hAnsi="宋体" w:cs="宋体"/>
          <w:szCs w:val="21"/>
        </w:rPr>
      </w:pPr>
      <w:r>
        <w:rPr>
          <w:rFonts w:hint="eastAsia" w:ascii="宋体" w:hAnsi="宋体" w:cs="宋体"/>
          <w:szCs w:val="21"/>
        </w:rPr>
        <w:t>由评审小组查验各</w:t>
      </w:r>
      <w:r>
        <w:rPr>
          <w:rFonts w:hint="eastAsia" w:ascii="宋体" w:hAnsi="宋体" w:cs="宋体"/>
          <w:szCs w:val="21"/>
          <w:lang w:val="en-US" w:eastAsia="zh-CN"/>
        </w:rPr>
        <w:t>参选</w:t>
      </w:r>
      <w:r>
        <w:rPr>
          <w:rFonts w:hint="eastAsia" w:ascii="宋体" w:hAnsi="宋体" w:cs="宋体"/>
          <w:szCs w:val="21"/>
        </w:rPr>
        <w:t>人应到会代表身份是否符合规定；</w:t>
      </w:r>
    </w:p>
    <w:p w14:paraId="045A4D75">
      <w:pPr>
        <w:numPr>
          <w:ilvl w:val="0"/>
          <w:numId w:val="4"/>
        </w:numPr>
        <w:spacing w:line="360" w:lineRule="auto"/>
        <w:ind w:left="845" w:leftChars="0" w:hanging="425" w:firstLineChars="0"/>
        <w:rPr>
          <w:rFonts w:ascii="宋体" w:hAnsi="宋体" w:cs="宋体"/>
          <w:szCs w:val="21"/>
        </w:rPr>
      </w:pPr>
      <w:r>
        <w:rPr>
          <w:rFonts w:hint="eastAsia" w:ascii="宋体" w:hAnsi="宋体" w:cs="宋体"/>
          <w:szCs w:val="21"/>
        </w:rPr>
        <w:t>由评审小组检查</w:t>
      </w:r>
      <w:r>
        <w:rPr>
          <w:rFonts w:hint="eastAsia" w:ascii="宋体" w:hAnsi="宋体" w:cs="宋体"/>
          <w:szCs w:val="21"/>
          <w:lang w:val="en-US" w:eastAsia="zh-CN"/>
        </w:rPr>
        <w:t>参选</w:t>
      </w:r>
      <w:r>
        <w:rPr>
          <w:rFonts w:hint="eastAsia" w:ascii="宋体" w:hAnsi="宋体" w:cs="宋体"/>
          <w:szCs w:val="21"/>
        </w:rPr>
        <w:t>文件的密封情况；</w:t>
      </w:r>
    </w:p>
    <w:p w14:paraId="21042B2D">
      <w:pPr>
        <w:pStyle w:val="11"/>
        <w:numPr>
          <w:ilvl w:val="0"/>
          <w:numId w:val="4"/>
        </w:numPr>
        <w:spacing w:line="360" w:lineRule="auto"/>
        <w:ind w:left="845" w:leftChars="0" w:hanging="425" w:firstLineChars="0"/>
        <w:rPr>
          <w:rFonts w:ascii="宋体" w:hAnsi="宋体" w:cs="宋体"/>
          <w:szCs w:val="21"/>
        </w:rPr>
      </w:pPr>
      <w:r>
        <w:rPr>
          <w:rFonts w:hint="eastAsia" w:ascii="宋体" w:hAnsi="宋体" w:cs="宋体"/>
          <w:szCs w:val="21"/>
        </w:rPr>
        <w:t>主持人宣布</w:t>
      </w:r>
      <w:r>
        <w:rPr>
          <w:rFonts w:hint="eastAsia" w:ascii="宋体" w:hAnsi="宋体" w:cs="宋体"/>
          <w:szCs w:val="21"/>
          <w:lang w:val="en-US" w:eastAsia="zh-CN"/>
        </w:rPr>
        <w:t>参选</w:t>
      </w:r>
      <w:r>
        <w:rPr>
          <w:rFonts w:hint="eastAsia" w:ascii="宋体" w:hAnsi="宋体" w:cs="宋体"/>
          <w:szCs w:val="21"/>
        </w:rPr>
        <w:t>文件递交截止时间前收到的</w:t>
      </w:r>
      <w:r>
        <w:rPr>
          <w:rFonts w:hint="eastAsia" w:ascii="宋体" w:hAnsi="宋体" w:cs="宋体"/>
          <w:szCs w:val="21"/>
          <w:lang w:val="en-US" w:eastAsia="zh-CN"/>
        </w:rPr>
        <w:t>参选</w:t>
      </w:r>
      <w:r>
        <w:rPr>
          <w:rFonts w:hint="eastAsia" w:ascii="宋体" w:hAnsi="宋体" w:cs="宋体"/>
          <w:szCs w:val="21"/>
        </w:rPr>
        <w:t>文件数和上述查验结果；</w:t>
      </w:r>
    </w:p>
    <w:p w14:paraId="5EE12192">
      <w:pPr>
        <w:numPr>
          <w:ilvl w:val="0"/>
          <w:numId w:val="4"/>
        </w:numPr>
        <w:spacing w:line="360" w:lineRule="auto"/>
        <w:ind w:left="845" w:leftChars="0" w:hanging="425" w:firstLineChars="0"/>
        <w:rPr>
          <w:rFonts w:ascii="宋体" w:hAnsi="宋体" w:cs="宋体"/>
          <w:szCs w:val="21"/>
        </w:rPr>
      </w:pPr>
      <w:r>
        <w:rPr>
          <w:rFonts w:hint="eastAsia" w:ascii="宋体" w:hAnsi="宋体" w:cs="宋体"/>
          <w:szCs w:val="21"/>
        </w:rPr>
        <w:t>由评审小组按标段顺序现场拆开宣布各家上报价格，由各</w:t>
      </w:r>
      <w:r>
        <w:rPr>
          <w:rFonts w:hint="eastAsia" w:ascii="宋体" w:hAnsi="宋体" w:cs="宋体"/>
          <w:szCs w:val="21"/>
          <w:lang w:val="en-US" w:eastAsia="zh-CN"/>
        </w:rPr>
        <w:t>参选</w:t>
      </w:r>
      <w:r>
        <w:rPr>
          <w:rFonts w:hint="eastAsia" w:ascii="宋体" w:hAnsi="宋体" w:cs="宋体"/>
          <w:szCs w:val="21"/>
        </w:rPr>
        <w:t>人签字确认；</w:t>
      </w:r>
    </w:p>
    <w:p w14:paraId="28FAA6C2">
      <w:pPr>
        <w:numPr>
          <w:ilvl w:val="0"/>
          <w:numId w:val="4"/>
        </w:numPr>
        <w:spacing w:line="360" w:lineRule="auto"/>
        <w:ind w:left="845" w:leftChars="0" w:hanging="425" w:firstLineChars="0"/>
        <w:rPr>
          <w:rFonts w:ascii="宋体" w:hAnsi="宋体" w:cs="宋体"/>
          <w:szCs w:val="21"/>
        </w:rPr>
      </w:pPr>
      <w:r>
        <w:rPr>
          <w:rFonts w:hint="eastAsia" w:ascii="宋体" w:hAnsi="宋体" w:cs="宋体"/>
          <w:szCs w:val="21"/>
          <w:lang w:val="en-US" w:eastAsia="zh-CN"/>
        </w:rPr>
        <w:t>由评审工作小组评审各参选人的参选文件</w:t>
      </w:r>
      <w:r>
        <w:rPr>
          <w:rFonts w:hint="eastAsia" w:ascii="宋体" w:hAnsi="宋体" w:cs="宋体"/>
          <w:szCs w:val="21"/>
        </w:rPr>
        <w:t>；</w:t>
      </w:r>
    </w:p>
    <w:p w14:paraId="6C6B3777">
      <w:pPr>
        <w:numPr>
          <w:ilvl w:val="0"/>
          <w:numId w:val="4"/>
        </w:numPr>
        <w:spacing w:line="360" w:lineRule="auto"/>
        <w:ind w:left="845" w:leftChars="0" w:hanging="425" w:firstLineChars="0"/>
        <w:rPr>
          <w:rFonts w:hint="eastAsia" w:ascii="宋体" w:hAnsi="宋体" w:cs="宋体"/>
          <w:szCs w:val="21"/>
          <w:lang w:val="en-US" w:eastAsia="zh-CN"/>
        </w:rPr>
      </w:pPr>
      <w:r>
        <w:rPr>
          <w:rFonts w:hint="eastAsia" w:ascii="宋体" w:hAnsi="宋体" w:cs="宋体"/>
          <w:szCs w:val="21"/>
          <w:lang w:val="en-US" w:eastAsia="zh-CN"/>
        </w:rPr>
        <w:t>由评审工作小组组长按标段顺序随机抽取K值，并由各参选人对所抽K值签字确认；（若有）</w:t>
      </w:r>
    </w:p>
    <w:p w14:paraId="7F411F18">
      <w:pPr>
        <w:numPr>
          <w:ilvl w:val="0"/>
          <w:numId w:val="4"/>
        </w:numPr>
        <w:spacing w:line="360" w:lineRule="auto"/>
        <w:ind w:left="845" w:leftChars="0" w:hanging="425" w:firstLineChars="0"/>
        <w:rPr>
          <w:rFonts w:hint="default" w:ascii="宋体" w:hAnsi="宋体" w:cs="宋体"/>
          <w:szCs w:val="21"/>
          <w:lang w:val="en-US" w:eastAsia="zh-CN"/>
        </w:rPr>
      </w:pPr>
      <w:r>
        <w:rPr>
          <w:rFonts w:hint="eastAsia" w:ascii="宋体" w:hAnsi="宋体" w:cs="宋体"/>
          <w:szCs w:val="21"/>
          <w:lang w:val="en-US" w:eastAsia="zh-CN"/>
        </w:rPr>
        <w:t>由评审工作小组计算推荐中选候选人；</w:t>
      </w:r>
    </w:p>
    <w:p w14:paraId="6A0003AE">
      <w:pPr>
        <w:numPr>
          <w:ilvl w:val="0"/>
          <w:numId w:val="4"/>
        </w:numPr>
        <w:spacing w:line="360" w:lineRule="auto"/>
        <w:ind w:left="845" w:leftChars="0" w:hanging="425" w:firstLineChars="0"/>
        <w:rPr>
          <w:rFonts w:ascii="宋体" w:hAnsi="宋体" w:cs="宋体"/>
          <w:szCs w:val="21"/>
        </w:rPr>
      </w:pPr>
      <w:r>
        <w:rPr>
          <w:rFonts w:hint="eastAsia" w:ascii="宋体" w:hAnsi="宋体" w:cs="宋体"/>
          <w:szCs w:val="21"/>
        </w:rPr>
        <w:t>主持人宣布开选会议结束。</w:t>
      </w:r>
    </w:p>
    <w:p w14:paraId="1EFB871B">
      <w:pPr>
        <w:pStyle w:val="36"/>
      </w:pPr>
    </w:p>
    <w:p w14:paraId="56DB18EB">
      <w:pPr>
        <w:pStyle w:val="5"/>
        <w:spacing w:line="416" w:lineRule="auto"/>
        <w:rPr>
          <w:rFonts w:ascii="宋体" w:hAnsi="宋体" w:eastAsia="宋体" w:cs="宋体"/>
          <w:b w:val="0"/>
          <w:sz w:val="24"/>
          <w:szCs w:val="24"/>
        </w:rPr>
      </w:pPr>
      <w:bookmarkStart w:id="493" w:name="_Toc439237954"/>
      <w:bookmarkStart w:id="494" w:name="_Toc109888269"/>
      <w:bookmarkStart w:id="495" w:name="_Toc459238503"/>
      <w:bookmarkStart w:id="496" w:name="_Toc439237585"/>
      <w:bookmarkStart w:id="497" w:name="_Toc449513806"/>
      <w:bookmarkStart w:id="498" w:name="_Toc459841963"/>
      <w:bookmarkStart w:id="499" w:name="_Toc120110843"/>
      <w:bookmarkStart w:id="500" w:name="_Toc74668711"/>
      <w:r>
        <w:rPr>
          <w:rFonts w:hint="eastAsia" w:ascii="宋体" w:hAnsi="宋体" w:eastAsia="宋体" w:cs="宋体"/>
          <w:b w:val="0"/>
          <w:sz w:val="24"/>
          <w:szCs w:val="24"/>
          <w:lang w:eastAsia="zh-CN"/>
        </w:rPr>
        <w:t>四、</w:t>
      </w:r>
      <w:r>
        <w:rPr>
          <w:rFonts w:hint="eastAsia" w:ascii="宋体" w:hAnsi="宋体" w:eastAsia="宋体" w:cs="宋体"/>
          <w:b w:val="0"/>
          <w:sz w:val="24"/>
          <w:szCs w:val="24"/>
        </w:rPr>
        <w:t>评选前的准备工作</w:t>
      </w:r>
      <w:bookmarkEnd w:id="493"/>
      <w:bookmarkEnd w:id="494"/>
      <w:bookmarkEnd w:id="495"/>
      <w:bookmarkEnd w:id="496"/>
      <w:bookmarkEnd w:id="497"/>
      <w:bookmarkEnd w:id="498"/>
      <w:bookmarkEnd w:id="499"/>
      <w:bookmarkEnd w:id="500"/>
    </w:p>
    <w:p w14:paraId="447A07B2">
      <w:pPr>
        <w:spacing w:line="420" w:lineRule="exact"/>
        <w:ind w:firstLine="420" w:firstLineChars="200"/>
        <w:rPr>
          <w:rFonts w:ascii="宋体" w:hAnsi="宋体" w:cs="宋体"/>
          <w:szCs w:val="21"/>
        </w:rPr>
      </w:pPr>
      <w:r>
        <w:rPr>
          <w:rFonts w:ascii="宋体" w:hAnsi="宋体" w:cs="宋体"/>
          <w:szCs w:val="21"/>
        </w:rPr>
        <w:t>4.1</w:t>
      </w:r>
      <w:r>
        <w:rPr>
          <w:rFonts w:hint="eastAsia" w:ascii="宋体" w:hAnsi="宋体" w:cs="宋体"/>
          <w:szCs w:val="21"/>
        </w:rPr>
        <w:t>评审小组成员在评选前应当认真审阅招</w:t>
      </w:r>
      <w:r>
        <w:rPr>
          <w:rFonts w:hint="eastAsia" w:ascii="宋体" w:hAnsi="宋体" w:cs="宋体"/>
          <w:szCs w:val="21"/>
          <w:lang w:eastAsia="zh-CN"/>
        </w:rPr>
        <w:t>选</w:t>
      </w:r>
      <w:r>
        <w:rPr>
          <w:rFonts w:hint="eastAsia" w:ascii="宋体" w:hAnsi="宋体" w:cs="宋体"/>
          <w:szCs w:val="21"/>
        </w:rPr>
        <w:t>文件，至少应了解和熟悉本招</w:t>
      </w:r>
      <w:r>
        <w:rPr>
          <w:rFonts w:hint="eastAsia" w:ascii="宋体" w:hAnsi="宋体" w:cs="宋体"/>
          <w:szCs w:val="21"/>
          <w:lang w:eastAsia="zh-CN"/>
        </w:rPr>
        <w:t>选</w:t>
      </w:r>
      <w:r>
        <w:rPr>
          <w:rFonts w:hint="eastAsia" w:ascii="宋体" w:hAnsi="宋体" w:cs="宋体"/>
          <w:szCs w:val="21"/>
        </w:rPr>
        <w:t>的目的、性质、范围和主要的技术要求标准和商务条款以及评选定标程序、标准、方法等内容，以及了解作为招</w:t>
      </w:r>
      <w:r>
        <w:rPr>
          <w:rFonts w:hint="eastAsia" w:ascii="宋体" w:hAnsi="宋体" w:cs="宋体"/>
          <w:szCs w:val="21"/>
          <w:lang w:val="en-US" w:eastAsia="zh-CN"/>
        </w:rPr>
        <w:t>选</w:t>
      </w:r>
      <w:r>
        <w:rPr>
          <w:rFonts w:hint="eastAsia" w:ascii="宋体" w:hAnsi="宋体" w:cs="宋体"/>
          <w:szCs w:val="21"/>
        </w:rPr>
        <w:t>小组成员的权利、义务和评选纪律。</w:t>
      </w:r>
    </w:p>
    <w:p w14:paraId="5BF39BBD">
      <w:pPr>
        <w:spacing w:line="420" w:lineRule="exact"/>
        <w:ind w:firstLine="420" w:firstLineChars="200"/>
        <w:rPr>
          <w:rFonts w:ascii="宋体" w:hAnsi="宋体" w:cs="宋体"/>
          <w:szCs w:val="21"/>
        </w:rPr>
      </w:pPr>
      <w:r>
        <w:rPr>
          <w:rFonts w:ascii="宋体" w:hAnsi="宋体" w:cs="宋体"/>
          <w:szCs w:val="21"/>
        </w:rPr>
        <w:t>4.2</w:t>
      </w:r>
      <w:r>
        <w:rPr>
          <w:rFonts w:hint="eastAsia" w:ascii="宋体" w:hAnsi="宋体" w:cs="宋体"/>
          <w:szCs w:val="21"/>
        </w:rPr>
        <w:t>工程管理与法务部应当负责评选会的事务性工作，向评审小组提供评选所需要的重要信息、数据以及辅助工作人员、设备等。</w:t>
      </w:r>
    </w:p>
    <w:p w14:paraId="7DB262F2">
      <w:pPr>
        <w:pStyle w:val="5"/>
        <w:spacing w:line="416" w:lineRule="auto"/>
        <w:rPr>
          <w:rFonts w:ascii="宋体" w:hAnsi="宋体" w:eastAsia="宋体" w:cs="宋体"/>
          <w:b w:val="0"/>
          <w:sz w:val="24"/>
          <w:szCs w:val="24"/>
        </w:rPr>
      </w:pPr>
      <w:bookmarkStart w:id="501" w:name="_Toc120110844"/>
      <w:bookmarkStart w:id="502" w:name="_Toc74668712"/>
      <w:bookmarkStart w:id="503" w:name="_Toc439237586"/>
      <w:bookmarkStart w:id="504" w:name="_Toc459841964"/>
      <w:bookmarkStart w:id="505" w:name="_Toc109888270"/>
      <w:bookmarkStart w:id="506" w:name="_Toc439237955"/>
      <w:bookmarkStart w:id="507" w:name="_Toc459238504"/>
      <w:bookmarkStart w:id="508" w:name="_Toc449513807"/>
      <w:r>
        <w:rPr>
          <w:rFonts w:hint="eastAsia" w:ascii="宋体" w:hAnsi="宋体" w:eastAsia="宋体" w:cs="宋体"/>
          <w:b w:val="0"/>
          <w:sz w:val="24"/>
          <w:szCs w:val="24"/>
          <w:lang w:eastAsia="zh-CN"/>
        </w:rPr>
        <w:t>五、</w:t>
      </w:r>
      <w:r>
        <w:rPr>
          <w:rFonts w:hint="eastAsia" w:ascii="宋体" w:hAnsi="宋体" w:eastAsia="宋体" w:cs="宋体"/>
          <w:b w:val="0"/>
          <w:sz w:val="24"/>
          <w:szCs w:val="24"/>
        </w:rPr>
        <w:t>资格审查</w:t>
      </w:r>
      <w:bookmarkEnd w:id="501"/>
      <w:bookmarkEnd w:id="502"/>
      <w:bookmarkEnd w:id="503"/>
      <w:bookmarkEnd w:id="504"/>
      <w:bookmarkEnd w:id="505"/>
      <w:bookmarkEnd w:id="506"/>
      <w:bookmarkEnd w:id="507"/>
      <w:bookmarkEnd w:id="508"/>
    </w:p>
    <w:p w14:paraId="37AA155D">
      <w:pPr>
        <w:spacing w:line="348" w:lineRule="auto"/>
        <w:ind w:firstLine="420" w:firstLineChars="200"/>
        <w:rPr>
          <w:rFonts w:ascii="宋体" w:hAnsi="宋体"/>
        </w:rPr>
      </w:pPr>
      <w:r>
        <w:rPr>
          <w:rFonts w:ascii="宋体" w:hAnsi="宋体"/>
        </w:rPr>
        <w:t>5.1</w:t>
      </w:r>
      <w:r>
        <w:rPr>
          <w:rFonts w:hint="eastAsia" w:ascii="宋体" w:hAnsi="宋体"/>
        </w:rPr>
        <w:t>.</w:t>
      </w:r>
      <w:r>
        <w:rPr>
          <w:rFonts w:hint="eastAsia" w:ascii="宋体" w:hAnsi="宋体"/>
          <w:lang w:val="en-US" w:eastAsia="zh-CN"/>
        </w:rPr>
        <w:t>招选</w:t>
      </w:r>
      <w:r>
        <w:rPr>
          <w:rFonts w:hint="eastAsia" w:ascii="宋体" w:hAnsi="宋体"/>
        </w:rPr>
        <w:t>人开启</w:t>
      </w:r>
      <w:r>
        <w:rPr>
          <w:rFonts w:hint="eastAsia" w:ascii="宋体" w:hAnsi="宋体"/>
          <w:lang w:val="en-US" w:eastAsia="zh-CN"/>
        </w:rPr>
        <w:t>参选</w:t>
      </w:r>
      <w:r>
        <w:rPr>
          <w:rFonts w:hint="eastAsia" w:ascii="宋体" w:hAnsi="宋体"/>
        </w:rPr>
        <w:t>文件，当场公布各</w:t>
      </w:r>
      <w:r>
        <w:rPr>
          <w:rFonts w:hint="eastAsia" w:ascii="宋体" w:hAnsi="宋体"/>
          <w:lang w:eastAsia="zh-CN"/>
        </w:rPr>
        <w:t>参选</w:t>
      </w:r>
      <w:r>
        <w:rPr>
          <w:rFonts w:hint="eastAsia" w:ascii="宋体" w:hAnsi="宋体"/>
        </w:rPr>
        <w:t>报价。</w:t>
      </w:r>
    </w:p>
    <w:p w14:paraId="2187F4E5">
      <w:pPr>
        <w:spacing w:line="348" w:lineRule="auto"/>
        <w:ind w:firstLine="420" w:firstLineChars="200"/>
        <w:rPr>
          <w:rFonts w:ascii="宋体" w:hAnsi="宋体"/>
        </w:rPr>
      </w:pPr>
      <w:r>
        <w:rPr>
          <w:rFonts w:hint="eastAsia" w:ascii="宋体" w:hAnsi="宋体"/>
        </w:rPr>
        <w:t>（1）资格性检查。评审小组首先对</w:t>
      </w:r>
      <w:r>
        <w:rPr>
          <w:rFonts w:hint="eastAsia" w:ascii="宋体" w:hAnsi="宋体"/>
          <w:lang w:val="en-US" w:eastAsia="zh-CN"/>
        </w:rPr>
        <w:t>参选</w:t>
      </w:r>
      <w:r>
        <w:rPr>
          <w:rFonts w:hint="eastAsia" w:ascii="宋体" w:hAnsi="宋体"/>
        </w:rPr>
        <w:t>人提交的</w:t>
      </w:r>
      <w:r>
        <w:rPr>
          <w:rFonts w:hint="eastAsia" w:ascii="宋体" w:hAnsi="宋体"/>
          <w:lang w:val="en-US" w:eastAsia="zh-CN"/>
        </w:rPr>
        <w:t>参选</w:t>
      </w:r>
      <w:r>
        <w:rPr>
          <w:rFonts w:hint="eastAsia" w:ascii="宋体" w:hAnsi="宋体"/>
        </w:rPr>
        <w:t>文件进行资格审查</w:t>
      </w:r>
      <w:r>
        <w:rPr>
          <w:rFonts w:hint="eastAsia" w:ascii="宋体" w:hAnsi="宋体"/>
          <w:lang w:eastAsia="zh-CN"/>
        </w:rPr>
        <w:t>，</w:t>
      </w:r>
      <w:r>
        <w:rPr>
          <w:rFonts w:hint="eastAsia" w:ascii="宋体" w:hAnsi="宋体"/>
        </w:rPr>
        <w:t xml:space="preserve"> 以确定其是否符合招</w:t>
      </w:r>
      <w:r>
        <w:rPr>
          <w:rFonts w:hint="eastAsia" w:ascii="宋体" w:hAnsi="宋体"/>
          <w:lang w:val="en-US" w:eastAsia="zh-CN"/>
        </w:rPr>
        <w:t>选</w:t>
      </w:r>
      <w:r>
        <w:rPr>
          <w:rFonts w:hint="eastAsia" w:ascii="宋体" w:hAnsi="宋体"/>
        </w:rPr>
        <w:t>文件的要求。如果</w:t>
      </w:r>
      <w:r>
        <w:rPr>
          <w:rFonts w:hint="eastAsia" w:ascii="宋体" w:hAnsi="宋体"/>
          <w:lang w:val="en-US" w:eastAsia="zh-CN"/>
        </w:rPr>
        <w:t>参选</w:t>
      </w:r>
      <w:r>
        <w:rPr>
          <w:rFonts w:hint="eastAsia" w:ascii="宋体" w:hAnsi="宋体"/>
        </w:rPr>
        <w:t>人不满足招</w:t>
      </w:r>
      <w:r>
        <w:rPr>
          <w:rFonts w:hint="eastAsia" w:ascii="宋体" w:hAnsi="宋体"/>
          <w:lang w:val="en-US" w:eastAsia="zh-CN"/>
        </w:rPr>
        <w:t>选</w:t>
      </w:r>
      <w:r>
        <w:rPr>
          <w:rFonts w:hint="eastAsia" w:ascii="宋体" w:hAnsi="宋体"/>
        </w:rPr>
        <w:t>文件所规定的资格标准或提供资格证明文件不全的</w:t>
      </w:r>
      <w:r>
        <w:rPr>
          <w:rFonts w:hint="eastAsia" w:ascii="宋体" w:hAnsi="宋体"/>
          <w:lang w:eastAsia="zh-CN"/>
        </w:rPr>
        <w:t>，</w:t>
      </w:r>
      <w:r>
        <w:rPr>
          <w:rFonts w:hint="eastAsia" w:ascii="宋体" w:hAnsi="宋体"/>
        </w:rPr>
        <w:t xml:space="preserve"> 其报价将被拒绝。</w:t>
      </w:r>
    </w:p>
    <w:p w14:paraId="02A34E6A">
      <w:pPr>
        <w:spacing w:line="348" w:lineRule="auto"/>
        <w:ind w:firstLine="420" w:firstLineChars="200"/>
        <w:rPr>
          <w:rFonts w:hint="eastAsia" w:ascii="宋体" w:hAnsi="宋体"/>
        </w:rPr>
      </w:pPr>
      <w:r>
        <w:rPr>
          <w:rFonts w:hint="eastAsia" w:ascii="宋体" w:hAnsi="宋体"/>
        </w:rPr>
        <w:t>（2）符合性检查。依据招</w:t>
      </w:r>
      <w:r>
        <w:rPr>
          <w:rFonts w:hint="eastAsia" w:ascii="宋体" w:hAnsi="宋体"/>
          <w:lang w:eastAsia="zh-CN"/>
        </w:rPr>
        <w:t>选</w:t>
      </w:r>
      <w:r>
        <w:rPr>
          <w:rFonts w:hint="eastAsia" w:ascii="宋体" w:hAnsi="宋体"/>
        </w:rPr>
        <w:t>文件的规定，评审小组还将从</w:t>
      </w:r>
      <w:r>
        <w:rPr>
          <w:rFonts w:hint="eastAsia" w:ascii="宋体" w:hAnsi="宋体"/>
          <w:lang w:val="en-US" w:eastAsia="zh-CN"/>
        </w:rPr>
        <w:t>参选</w:t>
      </w:r>
      <w:r>
        <w:rPr>
          <w:rFonts w:hint="eastAsia" w:ascii="宋体" w:hAnsi="宋体"/>
        </w:rPr>
        <w:t>文件的有效性、完整性和对招</w:t>
      </w:r>
      <w:r>
        <w:rPr>
          <w:rFonts w:hint="eastAsia" w:ascii="宋体" w:hAnsi="宋体"/>
          <w:lang w:eastAsia="zh-CN"/>
        </w:rPr>
        <w:t>选</w:t>
      </w:r>
      <w:r>
        <w:rPr>
          <w:rFonts w:hint="eastAsia" w:ascii="宋体" w:hAnsi="宋体"/>
        </w:rPr>
        <w:t>文件的响应程度进行审查，以确定是否对招</w:t>
      </w:r>
      <w:r>
        <w:rPr>
          <w:rFonts w:hint="eastAsia" w:ascii="宋体" w:hAnsi="宋体"/>
          <w:lang w:eastAsia="zh-CN"/>
        </w:rPr>
        <w:t>选</w:t>
      </w:r>
      <w:r>
        <w:rPr>
          <w:rFonts w:hint="eastAsia" w:ascii="宋体" w:hAnsi="宋体"/>
        </w:rPr>
        <w:t>文件的实质性要求作出响应。</w:t>
      </w:r>
    </w:p>
    <w:p w14:paraId="62966552">
      <w:pPr>
        <w:ind w:firstLine="420" w:firstLineChars="200"/>
        <w:rPr>
          <w:rFonts w:hint="eastAsia"/>
        </w:rPr>
      </w:pPr>
      <w:r>
        <w:rPr>
          <w:rFonts w:hint="eastAsia"/>
        </w:rPr>
        <w:t>凡有下列情况之一者，</w:t>
      </w:r>
      <w:r>
        <w:rPr>
          <w:rFonts w:hint="eastAsia"/>
          <w:lang w:val="en-US" w:eastAsia="zh-CN"/>
        </w:rPr>
        <w:t>参选</w:t>
      </w:r>
      <w:r>
        <w:rPr>
          <w:rFonts w:hint="eastAsia"/>
        </w:rPr>
        <w:t>文件也将被视为未实质性响应</w:t>
      </w:r>
      <w:r>
        <w:rPr>
          <w:rFonts w:hint="eastAsia"/>
          <w:lang w:val="en-US" w:eastAsia="zh-CN"/>
        </w:rPr>
        <w:t>参选</w:t>
      </w:r>
      <w:r>
        <w:rPr>
          <w:rFonts w:hint="eastAsia"/>
        </w:rPr>
        <w:t>文件要求：</w:t>
      </w:r>
    </w:p>
    <w:p w14:paraId="56D8FE99">
      <w:pPr>
        <w:rPr>
          <w:rFonts w:hint="eastAsia"/>
        </w:rPr>
      </w:pPr>
      <w:r>
        <w:rPr>
          <w:rFonts w:hint="eastAsia"/>
        </w:rPr>
        <w:fldChar w:fldCharType="begin"/>
      </w:r>
      <w:r>
        <w:rPr>
          <w:rFonts w:hint="eastAsia"/>
        </w:rPr>
        <w:instrText xml:space="preserve"> = 1 \* GB3 </w:instrText>
      </w:r>
      <w:r>
        <w:rPr>
          <w:rFonts w:hint="eastAsia"/>
        </w:rPr>
        <w:fldChar w:fldCharType="separate"/>
      </w:r>
      <w:r>
        <w:rPr>
          <w:rFonts w:hint="eastAsia"/>
        </w:rPr>
        <w:t>①</w:t>
      </w:r>
      <w:r>
        <w:rPr>
          <w:rFonts w:hint="eastAsia"/>
        </w:rPr>
        <w:fldChar w:fldCharType="end"/>
      </w:r>
      <w:r>
        <w:rPr>
          <w:rFonts w:hint="eastAsia"/>
        </w:rPr>
        <w:t>未按规定由</w:t>
      </w:r>
      <w:r>
        <w:rPr>
          <w:rFonts w:hint="eastAsia"/>
          <w:lang w:val="en-US" w:eastAsia="zh-CN"/>
        </w:rPr>
        <w:t>参选人</w:t>
      </w:r>
      <w:r>
        <w:rPr>
          <w:rFonts w:hint="eastAsia"/>
        </w:rPr>
        <w:t>的法定代表人或其授权代表签字，或未加盖</w:t>
      </w:r>
      <w:r>
        <w:rPr>
          <w:rFonts w:hint="eastAsia"/>
          <w:lang w:val="en-US" w:eastAsia="zh-CN"/>
        </w:rPr>
        <w:t>参选人</w:t>
      </w:r>
      <w:r>
        <w:rPr>
          <w:rFonts w:hint="eastAsia"/>
        </w:rPr>
        <w:t>公章的；或签字人未经法定代表人有效授权委托的；</w:t>
      </w:r>
    </w:p>
    <w:p w14:paraId="1818E55B">
      <w:pPr>
        <w:rPr>
          <w:rFonts w:hint="eastAsia"/>
        </w:rPr>
      </w:pPr>
      <w:r>
        <w:rPr>
          <w:rFonts w:hint="eastAsia"/>
        </w:rPr>
        <w:fldChar w:fldCharType="begin"/>
      </w:r>
      <w:r>
        <w:rPr>
          <w:rFonts w:hint="eastAsia"/>
        </w:rPr>
        <w:instrText xml:space="preserve"> = 2 \* GB3 </w:instrText>
      </w:r>
      <w:r>
        <w:rPr>
          <w:rFonts w:hint="eastAsia"/>
        </w:rPr>
        <w:fldChar w:fldCharType="separate"/>
      </w:r>
      <w:r>
        <w:rPr>
          <w:rFonts w:hint="eastAsia"/>
        </w:rPr>
        <w:t>②</w:t>
      </w:r>
      <w:r>
        <w:rPr>
          <w:rFonts w:hint="eastAsia"/>
        </w:rPr>
        <w:fldChar w:fldCharType="end"/>
      </w:r>
      <w:r>
        <w:rPr>
          <w:rFonts w:hint="eastAsia"/>
          <w:lang w:val="en-US" w:eastAsia="zh-CN"/>
        </w:rPr>
        <w:t>参选</w:t>
      </w:r>
      <w:r>
        <w:rPr>
          <w:rFonts w:hint="eastAsia"/>
        </w:rPr>
        <w:t>文件内容与招</w:t>
      </w:r>
      <w:r>
        <w:rPr>
          <w:rFonts w:hint="eastAsia"/>
          <w:lang w:val="en-US" w:eastAsia="zh-CN"/>
        </w:rPr>
        <w:t>选</w:t>
      </w:r>
      <w:r>
        <w:rPr>
          <w:rFonts w:hint="eastAsia"/>
        </w:rPr>
        <w:t>内容及要求有重大偏离或保留的；</w:t>
      </w:r>
    </w:p>
    <w:p w14:paraId="60851CC8">
      <w:pPr>
        <w:rPr>
          <w:rFonts w:hint="eastAsia"/>
        </w:rPr>
      </w:pPr>
      <w:r>
        <w:rPr>
          <w:rFonts w:hint="eastAsia"/>
        </w:rPr>
        <w:fldChar w:fldCharType="begin"/>
      </w:r>
      <w:r>
        <w:rPr>
          <w:rFonts w:hint="eastAsia"/>
        </w:rPr>
        <w:instrText xml:space="preserve"> = 3 \* GB3 </w:instrText>
      </w:r>
      <w:r>
        <w:rPr>
          <w:rFonts w:hint="eastAsia"/>
        </w:rPr>
        <w:fldChar w:fldCharType="separate"/>
      </w:r>
      <w:r>
        <w:rPr>
          <w:rFonts w:hint="eastAsia"/>
        </w:rPr>
        <w:t>③</w:t>
      </w:r>
      <w:r>
        <w:rPr>
          <w:rFonts w:hint="eastAsia"/>
        </w:rPr>
        <w:fldChar w:fldCharType="end"/>
      </w:r>
      <w:r>
        <w:rPr>
          <w:rFonts w:hint="eastAsia"/>
          <w:lang w:val="en-US" w:eastAsia="zh-CN"/>
        </w:rPr>
        <w:t>参选</w:t>
      </w:r>
      <w:r>
        <w:rPr>
          <w:rFonts w:hint="eastAsia"/>
        </w:rPr>
        <w:t>人提交的是可选择的报价或</w:t>
      </w:r>
      <w:r>
        <w:rPr>
          <w:rFonts w:hint="eastAsia"/>
          <w:lang w:val="en-US" w:eastAsia="zh-CN"/>
        </w:rPr>
        <w:t>参选</w:t>
      </w:r>
      <w:r>
        <w:rPr>
          <w:rFonts w:hint="eastAsia"/>
        </w:rPr>
        <w:t>报价高于最高控制价的；</w:t>
      </w:r>
    </w:p>
    <w:p w14:paraId="2896A694">
      <w:pPr>
        <w:rPr>
          <w:rFonts w:hint="eastAsia"/>
        </w:rPr>
      </w:pPr>
      <w:r>
        <w:rPr>
          <w:rFonts w:hint="eastAsia"/>
        </w:rPr>
        <w:fldChar w:fldCharType="begin"/>
      </w:r>
      <w:r>
        <w:rPr>
          <w:rFonts w:hint="eastAsia"/>
        </w:rPr>
        <w:instrText xml:space="preserve"> = 4 \* GB3 </w:instrText>
      </w:r>
      <w:r>
        <w:rPr>
          <w:rFonts w:hint="eastAsia"/>
        </w:rPr>
        <w:fldChar w:fldCharType="separate"/>
      </w:r>
      <w:r>
        <w:rPr>
          <w:rFonts w:hint="eastAsia"/>
        </w:rPr>
        <w:t>④</w:t>
      </w:r>
      <w:r>
        <w:rPr>
          <w:rFonts w:hint="eastAsia"/>
        </w:rPr>
        <w:fldChar w:fldCharType="end"/>
      </w:r>
      <w:r>
        <w:rPr>
          <w:rFonts w:hint="eastAsia"/>
        </w:rPr>
        <w:t>未按招</w:t>
      </w:r>
      <w:r>
        <w:rPr>
          <w:rFonts w:hint="eastAsia"/>
          <w:lang w:val="en-US" w:eastAsia="zh-CN"/>
        </w:rPr>
        <w:t>选</w:t>
      </w:r>
      <w:r>
        <w:rPr>
          <w:rFonts w:hint="eastAsia"/>
        </w:rPr>
        <w:t>文件提供的工程量清单逐项列项，增减或修改工程量清单项目与数量的；</w:t>
      </w:r>
    </w:p>
    <w:p w14:paraId="545AC6DD">
      <w:pPr>
        <w:rPr>
          <w:rFonts w:hint="eastAsia"/>
          <w:lang w:val="en-US" w:eastAsia="zh-CN"/>
        </w:rPr>
      </w:pPr>
      <w:r>
        <w:rPr>
          <w:rFonts w:hint="eastAsia" w:ascii="微软雅黑" w:hAnsi="微软雅黑" w:eastAsia="微软雅黑" w:cs="微软雅黑"/>
          <w:lang w:val="en-US" w:eastAsia="zh-CN"/>
        </w:rPr>
        <w:t>⑤</w:t>
      </w:r>
      <w:r>
        <w:rPr>
          <w:rFonts w:hint="eastAsia"/>
          <w:lang w:val="en-US" w:eastAsia="zh-CN"/>
        </w:rPr>
        <w:t>若参选人曾参与第一次招选，其报价不得高于第一次参选报价；</w:t>
      </w:r>
    </w:p>
    <w:p w14:paraId="048DBFE5">
      <w:pPr>
        <w:rPr>
          <w:rFonts w:hint="eastAsia" w:eastAsiaTheme="minorEastAsia"/>
          <w:lang w:eastAsia="zh-CN"/>
        </w:rPr>
      </w:pPr>
      <w:r>
        <w:rPr>
          <w:rFonts w:hint="eastAsia" w:ascii="微软雅黑" w:hAnsi="微软雅黑" w:eastAsia="微软雅黑" w:cs="微软雅黑"/>
        </w:rPr>
        <w:t>⑥</w:t>
      </w:r>
      <w:r>
        <w:rPr>
          <w:rFonts w:hint="eastAsia"/>
        </w:rPr>
        <w:t>不符合招</w:t>
      </w:r>
      <w:r>
        <w:rPr>
          <w:rFonts w:hint="eastAsia"/>
          <w:lang w:eastAsia="zh-CN"/>
        </w:rPr>
        <w:t>选</w:t>
      </w:r>
      <w:r>
        <w:rPr>
          <w:rFonts w:hint="eastAsia"/>
        </w:rPr>
        <w:t>文件中规定的</w:t>
      </w:r>
      <w:r>
        <w:rPr>
          <w:rFonts w:hint="eastAsia"/>
          <w:lang w:eastAsia="zh-CN"/>
        </w:rPr>
        <w:t>其他</w:t>
      </w:r>
      <w:r>
        <w:rPr>
          <w:rFonts w:hint="eastAsia"/>
        </w:rPr>
        <w:t>实质性条款</w:t>
      </w:r>
      <w:r>
        <w:rPr>
          <w:rFonts w:hint="eastAsia"/>
          <w:lang w:eastAsia="zh-CN"/>
        </w:rPr>
        <w:t>；</w:t>
      </w:r>
    </w:p>
    <w:p w14:paraId="2F5AD5D8">
      <w:pPr>
        <w:pStyle w:val="5"/>
        <w:spacing w:line="416" w:lineRule="auto"/>
        <w:rPr>
          <w:rFonts w:ascii="宋体" w:hAnsi="宋体"/>
          <w:b w:val="0"/>
        </w:rPr>
      </w:pPr>
      <w:bookmarkStart w:id="509" w:name="_Toc120110845"/>
      <w:r>
        <w:rPr>
          <w:rFonts w:hint="eastAsia" w:ascii="宋体" w:hAnsi="宋体" w:eastAsia="宋体" w:cs="宋体"/>
          <w:b w:val="0"/>
          <w:sz w:val="24"/>
          <w:szCs w:val="24"/>
          <w:lang w:eastAsia="zh-CN"/>
        </w:rPr>
        <w:t>六、</w:t>
      </w:r>
      <w:r>
        <w:rPr>
          <w:rFonts w:hint="eastAsia" w:ascii="宋体" w:hAnsi="宋体" w:eastAsia="宋体" w:cs="宋体"/>
          <w:b w:val="0"/>
          <w:sz w:val="24"/>
          <w:szCs w:val="24"/>
        </w:rPr>
        <w:t>确定中</w:t>
      </w:r>
      <w:r>
        <w:rPr>
          <w:rFonts w:hint="eastAsia" w:ascii="宋体" w:hAnsi="宋体" w:eastAsia="宋体" w:cs="宋体"/>
          <w:b w:val="0"/>
          <w:sz w:val="24"/>
          <w:szCs w:val="24"/>
          <w:lang w:eastAsia="zh-CN"/>
        </w:rPr>
        <w:t>选</w:t>
      </w:r>
      <w:r>
        <w:rPr>
          <w:rFonts w:hint="eastAsia" w:ascii="宋体" w:hAnsi="宋体" w:eastAsia="宋体" w:cs="宋体"/>
          <w:b w:val="0"/>
          <w:sz w:val="24"/>
          <w:szCs w:val="24"/>
        </w:rPr>
        <w:t>人确定</w:t>
      </w:r>
      <w:bookmarkEnd w:id="509"/>
    </w:p>
    <w:p w14:paraId="323FD593">
      <w:pPr>
        <w:spacing w:line="380" w:lineRule="exact"/>
        <w:ind w:firstLine="420" w:firstLineChars="200"/>
        <w:outlineLvl w:val="1"/>
        <w:rPr>
          <w:rFonts w:hint="eastAsia" w:ascii="宋体" w:hAnsi="宋体"/>
          <w:b w:val="0"/>
          <w:bCs w:val="0"/>
          <w:color w:val="auto"/>
          <w:highlight w:val="none"/>
        </w:rPr>
      </w:pPr>
      <w:bookmarkStart w:id="510" w:name="_Toc16689"/>
      <w:bookmarkStart w:id="511" w:name="_Toc82589573"/>
      <w:bookmarkStart w:id="512" w:name="_Toc109888124"/>
      <w:bookmarkStart w:id="513" w:name="_Toc109888271"/>
      <w:bookmarkStart w:id="514" w:name="_Toc459841967"/>
      <w:bookmarkStart w:id="515" w:name="_Toc439237958"/>
      <w:bookmarkStart w:id="516" w:name="_Toc439237589"/>
      <w:bookmarkStart w:id="517" w:name="_Toc120110847"/>
      <w:bookmarkStart w:id="518" w:name="_Toc74668715"/>
      <w:bookmarkStart w:id="519" w:name="_Toc459238507"/>
      <w:bookmarkStart w:id="520" w:name="_Toc109888272"/>
      <w:bookmarkStart w:id="521" w:name="_Toc449513810"/>
      <w:r>
        <w:rPr>
          <w:rFonts w:hint="eastAsia" w:ascii="宋体" w:hAnsi="宋体"/>
          <w:b w:val="0"/>
          <w:bCs w:val="0"/>
          <w:color w:val="auto"/>
          <w:highlight w:val="none"/>
        </w:rPr>
        <w:t>在全部满足</w:t>
      </w:r>
      <w:r>
        <w:rPr>
          <w:rFonts w:hint="eastAsia" w:ascii="宋体" w:hAnsi="宋体"/>
          <w:b w:val="0"/>
          <w:bCs w:val="0"/>
          <w:color w:val="auto"/>
          <w:highlight w:val="none"/>
          <w:lang w:val="en-US" w:eastAsia="zh-CN"/>
        </w:rPr>
        <w:t>参选</w:t>
      </w:r>
      <w:r>
        <w:rPr>
          <w:rFonts w:hint="eastAsia" w:ascii="宋体" w:hAnsi="宋体"/>
          <w:b w:val="0"/>
          <w:bCs w:val="0"/>
          <w:color w:val="auto"/>
          <w:highlight w:val="none"/>
        </w:rPr>
        <w:t>文件实质性要求前提下依据统一的价格要素评定最低报价</w:t>
      </w:r>
      <w:r>
        <w:rPr>
          <w:rFonts w:hint="eastAsia" w:ascii="宋体" w:hAnsi="宋体"/>
          <w:b w:val="0"/>
          <w:bCs w:val="0"/>
          <w:color w:val="auto"/>
          <w:highlight w:val="none"/>
          <w:lang w:eastAsia="zh-CN"/>
        </w:rPr>
        <w:t>，</w:t>
      </w:r>
      <w:r>
        <w:rPr>
          <w:rFonts w:hint="eastAsia" w:ascii="宋体" w:hAnsi="宋体"/>
          <w:b w:val="0"/>
          <w:bCs w:val="0"/>
          <w:color w:val="auto"/>
          <w:highlight w:val="none"/>
        </w:rPr>
        <w:t>以报价最低的合格</w:t>
      </w:r>
      <w:r>
        <w:rPr>
          <w:rFonts w:hint="eastAsia" w:ascii="宋体" w:hAnsi="宋体"/>
          <w:b w:val="0"/>
          <w:bCs w:val="0"/>
          <w:color w:val="auto"/>
          <w:highlight w:val="none"/>
          <w:lang w:val="en-US" w:eastAsia="zh-CN"/>
        </w:rPr>
        <w:t>参选</w:t>
      </w:r>
      <w:r>
        <w:rPr>
          <w:rFonts w:hint="eastAsia" w:ascii="宋体" w:hAnsi="宋体"/>
          <w:b w:val="0"/>
          <w:bCs w:val="0"/>
          <w:color w:val="auto"/>
          <w:highlight w:val="none"/>
        </w:rPr>
        <w:t>人为中</w:t>
      </w:r>
      <w:r>
        <w:rPr>
          <w:rFonts w:hint="eastAsia" w:ascii="宋体" w:hAnsi="宋体"/>
          <w:b w:val="0"/>
          <w:bCs w:val="0"/>
          <w:color w:val="auto"/>
          <w:highlight w:val="none"/>
          <w:lang w:val="en-US" w:eastAsia="zh-CN"/>
        </w:rPr>
        <w:t>选</w:t>
      </w:r>
      <w:r>
        <w:rPr>
          <w:rFonts w:hint="eastAsia" w:ascii="宋体" w:hAnsi="宋体"/>
          <w:b w:val="0"/>
          <w:bCs w:val="0"/>
          <w:color w:val="auto"/>
          <w:highlight w:val="none"/>
        </w:rPr>
        <w:t>人。若出现2家或2家以上最低报价相同时，</w:t>
      </w:r>
      <w:bookmarkEnd w:id="510"/>
      <w:bookmarkEnd w:id="511"/>
      <w:bookmarkEnd w:id="512"/>
      <w:bookmarkEnd w:id="513"/>
      <w:r>
        <w:rPr>
          <w:rFonts w:hint="eastAsia" w:ascii="宋体" w:hAnsi="宋体"/>
          <w:b w:val="0"/>
          <w:bCs w:val="0"/>
          <w:color w:val="auto"/>
          <w:highlight w:val="none"/>
          <w:lang w:val="en-US" w:eastAsia="zh-CN"/>
        </w:rPr>
        <w:t>以参选人提供的同类项目业绩规模多者为中选人</w:t>
      </w:r>
      <w:r>
        <w:rPr>
          <w:rFonts w:hint="eastAsia" w:ascii="宋体" w:hAnsi="宋体"/>
          <w:b w:val="0"/>
          <w:bCs w:val="0"/>
          <w:color w:val="auto"/>
          <w:highlight w:val="none"/>
        </w:rPr>
        <w:t>。</w:t>
      </w:r>
    </w:p>
    <w:p w14:paraId="2AB3377E">
      <w:pPr>
        <w:spacing w:line="380" w:lineRule="exact"/>
        <w:outlineLvl w:val="1"/>
        <w:rPr>
          <w:rFonts w:hint="eastAsia" w:ascii="宋体" w:hAnsi="宋体"/>
          <w:b/>
          <w:bCs/>
          <w:color w:val="FF0000"/>
          <w:highlight w:val="none"/>
        </w:rPr>
      </w:pPr>
    </w:p>
    <w:p w14:paraId="13FF31BE">
      <w:pPr>
        <w:numPr>
          <w:ilvl w:val="0"/>
          <w:numId w:val="5"/>
        </w:numPr>
        <w:spacing w:line="380" w:lineRule="exact"/>
        <w:outlineLvl w:val="1"/>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附则</w:t>
      </w:r>
      <w:bookmarkEnd w:id="514"/>
      <w:bookmarkEnd w:id="515"/>
      <w:bookmarkEnd w:id="516"/>
      <w:bookmarkEnd w:id="517"/>
      <w:bookmarkEnd w:id="518"/>
      <w:bookmarkEnd w:id="519"/>
      <w:bookmarkEnd w:id="520"/>
      <w:bookmarkEnd w:id="521"/>
    </w:p>
    <w:p w14:paraId="7FE11A07">
      <w:pPr>
        <w:numPr>
          <w:ilvl w:val="0"/>
          <w:numId w:val="0"/>
        </w:numPr>
        <w:spacing w:line="380" w:lineRule="exact"/>
        <w:outlineLvl w:val="1"/>
        <w:rPr>
          <w:rFonts w:hint="eastAsia" w:ascii="宋体" w:hAnsi="宋体" w:cs="宋体"/>
          <w:bCs/>
          <w:szCs w:val="21"/>
          <w:highlight w:val="none"/>
        </w:rPr>
      </w:pPr>
    </w:p>
    <w:p w14:paraId="35AC4860">
      <w:pPr>
        <w:numPr>
          <w:ilvl w:val="0"/>
          <w:numId w:val="0"/>
        </w:numPr>
        <w:spacing w:line="380" w:lineRule="exact"/>
        <w:ind w:firstLine="420" w:firstLineChars="200"/>
        <w:outlineLvl w:val="1"/>
        <w:rPr>
          <w:rFonts w:ascii="宋体" w:hAnsi="宋体" w:cs="宋体"/>
          <w:bCs/>
          <w:szCs w:val="21"/>
          <w:highlight w:val="none"/>
        </w:rPr>
      </w:pPr>
      <w:r>
        <w:rPr>
          <w:rFonts w:hint="eastAsia" w:ascii="宋体" w:hAnsi="宋体" w:cs="宋体"/>
          <w:bCs/>
          <w:szCs w:val="21"/>
          <w:highlight w:val="none"/>
        </w:rPr>
        <w:t>7</w:t>
      </w:r>
      <w:r>
        <w:rPr>
          <w:rFonts w:ascii="宋体" w:hAnsi="宋体" w:cs="宋体"/>
          <w:bCs/>
          <w:szCs w:val="21"/>
          <w:highlight w:val="none"/>
        </w:rPr>
        <w:t>.1</w:t>
      </w:r>
      <w:r>
        <w:rPr>
          <w:rFonts w:hint="eastAsia" w:ascii="宋体" w:hAnsi="宋体" w:cs="宋体"/>
          <w:bCs/>
          <w:szCs w:val="21"/>
          <w:highlight w:val="none"/>
        </w:rPr>
        <w:t>在开</w:t>
      </w:r>
      <w:r>
        <w:rPr>
          <w:rFonts w:hint="eastAsia" w:ascii="宋体" w:hAnsi="宋体" w:cs="宋体"/>
          <w:bCs/>
          <w:szCs w:val="21"/>
          <w:highlight w:val="none"/>
          <w:lang w:eastAsia="zh-CN"/>
        </w:rPr>
        <w:t>选</w:t>
      </w:r>
      <w:r>
        <w:rPr>
          <w:rFonts w:hint="eastAsia" w:ascii="宋体" w:hAnsi="宋体" w:cs="宋体"/>
          <w:bCs/>
          <w:szCs w:val="21"/>
          <w:highlight w:val="none"/>
        </w:rPr>
        <w:t>过程中，</w:t>
      </w:r>
      <w:r>
        <w:rPr>
          <w:rFonts w:hint="eastAsia" w:ascii="宋体" w:hAnsi="宋体" w:cs="宋体"/>
          <w:bCs/>
          <w:szCs w:val="21"/>
          <w:highlight w:val="none"/>
          <w:lang w:val="en-US" w:eastAsia="zh-CN"/>
        </w:rPr>
        <w:t>参</w:t>
      </w:r>
      <w:r>
        <w:rPr>
          <w:rFonts w:hint="eastAsia" w:ascii="宋体" w:hAnsi="宋体" w:cs="宋体"/>
          <w:bCs/>
          <w:szCs w:val="21"/>
          <w:highlight w:val="none"/>
          <w:lang w:eastAsia="zh-CN"/>
        </w:rPr>
        <w:t>选</w:t>
      </w:r>
      <w:r>
        <w:rPr>
          <w:rFonts w:hint="eastAsia" w:ascii="宋体" w:hAnsi="宋体" w:cs="宋体"/>
          <w:bCs/>
          <w:szCs w:val="21"/>
          <w:highlight w:val="none"/>
        </w:rPr>
        <w:t>人须准备好与</w:t>
      </w:r>
      <w:r>
        <w:rPr>
          <w:rFonts w:hint="eastAsia" w:ascii="宋体" w:hAnsi="宋体" w:cs="宋体"/>
          <w:bCs/>
          <w:szCs w:val="21"/>
          <w:highlight w:val="none"/>
          <w:lang w:val="en-US" w:eastAsia="zh-CN"/>
        </w:rPr>
        <w:t>参</w:t>
      </w:r>
      <w:r>
        <w:rPr>
          <w:rFonts w:hint="eastAsia" w:ascii="宋体" w:hAnsi="宋体" w:cs="宋体"/>
          <w:bCs/>
          <w:szCs w:val="21"/>
          <w:highlight w:val="none"/>
          <w:lang w:eastAsia="zh-CN"/>
        </w:rPr>
        <w:t>选</w:t>
      </w:r>
      <w:r>
        <w:rPr>
          <w:rFonts w:hint="eastAsia" w:ascii="宋体" w:hAnsi="宋体" w:cs="宋体"/>
          <w:bCs/>
          <w:szCs w:val="21"/>
          <w:highlight w:val="none"/>
        </w:rPr>
        <w:t>有关的证明资料原件随时备查，如有必要，招</w:t>
      </w:r>
      <w:r>
        <w:rPr>
          <w:rFonts w:hint="eastAsia" w:ascii="宋体" w:hAnsi="宋体" w:cs="宋体"/>
          <w:bCs/>
          <w:szCs w:val="21"/>
          <w:highlight w:val="none"/>
          <w:lang w:eastAsia="zh-CN"/>
        </w:rPr>
        <w:t>选</w:t>
      </w:r>
      <w:r>
        <w:rPr>
          <w:rFonts w:hint="eastAsia" w:ascii="宋体" w:hAnsi="宋体" w:cs="宋体"/>
          <w:bCs/>
          <w:szCs w:val="21"/>
          <w:highlight w:val="none"/>
        </w:rPr>
        <w:t>单位将要求</w:t>
      </w:r>
      <w:r>
        <w:rPr>
          <w:rFonts w:hint="eastAsia" w:ascii="宋体" w:hAnsi="宋体" w:cs="宋体"/>
          <w:bCs/>
          <w:szCs w:val="21"/>
          <w:highlight w:val="none"/>
          <w:lang w:val="en-US" w:eastAsia="zh-CN"/>
        </w:rPr>
        <w:t>参</w:t>
      </w:r>
      <w:r>
        <w:rPr>
          <w:rFonts w:hint="eastAsia" w:ascii="宋体" w:hAnsi="宋体" w:cs="宋体"/>
          <w:bCs/>
          <w:szCs w:val="21"/>
          <w:highlight w:val="none"/>
          <w:lang w:eastAsia="zh-CN"/>
        </w:rPr>
        <w:t>选</w:t>
      </w:r>
      <w:r>
        <w:rPr>
          <w:rFonts w:hint="eastAsia" w:ascii="宋体" w:hAnsi="宋体" w:cs="宋体"/>
          <w:bCs/>
          <w:szCs w:val="21"/>
          <w:highlight w:val="none"/>
        </w:rPr>
        <w:t>人在规定的合理时间内提交原件验证，在规定时间内不能提交原件的，评审小组可以对</w:t>
      </w:r>
      <w:r>
        <w:rPr>
          <w:rFonts w:hint="eastAsia" w:ascii="宋体" w:hAnsi="宋体" w:cs="宋体"/>
          <w:bCs/>
          <w:szCs w:val="21"/>
          <w:highlight w:val="none"/>
          <w:lang w:eastAsia="zh-CN"/>
        </w:rPr>
        <w:t>有疑义</w:t>
      </w:r>
      <w:r>
        <w:rPr>
          <w:rFonts w:hint="eastAsia" w:ascii="宋体" w:hAnsi="宋体" w:cs="宋体"/>
          <w:bCs/>
          <w:szCs w:val="21"/>
          <w:highlight w:val="none"/>
        </w:rPr>
        <w:t>的有关证明资料复印件作出不利于</w:t>
      </w:r>
      <w:r>
        <w:rPr>
          <w:rFonts w:hint="eastAsia" w:ascii="宋体" w:hAnsi="宋体" w:cs="宋体"/>
          <w:bCs/>
          <w:szCs w:val="21"/>
          <w:highlight w:val="none"/>
          <w:lang w:val="en-US" w:eastAsia="zh-CN"/>
        </w:rPr>
        <w:t>参</w:t>
      </w:r>
      <w:r>
        <w:rPr>
          <w:rFonts w:hint="eastAsia" w:ascii="宋体" w:hAnsi="宋体" w:cs="宋体"/>
          <w:bCs/>
          <w:szCs w:val="21"/>
          <w:highlight w:val="none"/>
          <w:lang w:eastAsia="zh-CN"/>
        </w:rPr>
        <w:t>选</w:t>
      </w:r>
      <w:r>
        <w:rPr>
          <w:rFonts w:hint="eastAsia" w:ascii="宋体" w:hAnsi="宋体" w:cs="宋体"/>
          <w:bCs/>
          <w:szCs w:val="21"/>
          <w:highlight w:val="none"/>
        </w:rPr>
        <w:t>人的认定。</w:t>
      </w:r>
    </w:p>
    <w:p w14:paraId="3DA4E81C">
      <w:pPr>
        <w:pStyle w:val="9"/>
        <w:tabs>
          <w:tab w:val="left" w:pos="900"/>
        </w:tabs>
        <w:spacing w:line="420" w:lineRule="exact"/>
        <w:ind w:firstLine="411" w:firstLineChars="196"/>
        <w:rPr>
          <w:rFonts w:ascii="宋体" w:hAnsi="宋体" w:cs="宋体"/>
          <w:bCs/>
          <w:szCs w:val="21"/>
          <w:highlight w:val="none"/>
        </w:rPr>
      </w:pPr>
      <w:r>
        <w:rPr>
          <w:rFonts w:ascii="宋体" w:hAnsi="宋体" w:cs="宋体"/>
          <w:bCs/>
          <w:szCs w:val="21"/>
          <w:highlight w:val="none"/>
        </w:rPr>
        <w:t>7.2</w:t>
      </w:r>
      <w:r>
        <w:rPr>
          <w:rFonts w:hint="eastAsia" w:ascii="宋体" w:hAnsi="宋体" w:cs="宋体"/>
          <w:bCs/>
          <w:szCs w:val="21"/>
          <w:highlight w:val="none"/>
        </w:rPr>
        <w:t>在评选过程中，评审小组要求</w:t>
      </w:r>
      <w:r>
        <w:rPr>
          <w:rFonts w:hint="eastAsia" w:ascii="宋体" w:hAnsi="宋体" w:cs="宋体"/>
          <w:bCs/>
          <w:szCs w:val="21"/>
          <w:highlight w:val="none"/>
          <w:lang w:val="en-US" w:eastAsia="zh-CN"/>
        </w:rPr>
        <w:t>参</w:t>
      </w:r>
      <w:r>
        <w:rPr>
          <w:rFonts w:hint="eastAsia" w:ascii="宋体" w:hAnsi="宋体" w:cs="宋体"/>
          <w:bCs/>
          <w:szCs w:val="21"/>
          <w:highlight w:val="none"/>
          <w:lang w:eastAsia="zh-CN"/>
        </w:rPr>
        <w:t>选</w:t>
      </w:r>
      <w:r>
        <w:rPr>
          <w:rFonts w:hint="eastAsia" w:ascii="宋体" w:hAnsi="宋体" w:cs="宋体"/>
          <w:bCs/>
          <w:szCs w:val="21"/>
          <w:highlight w:val="none"/>
        </w:rPr>
        <w:t>人作出澄清的，</w:t>
      </w:r>
      <w:r>
        <w:rPr>
          <w:rFonts w:hint="eastAsia" w:ascii="宋体" w:hAnsi="宋体" w:cs="宋体"/>
          <w:bCs/>
          <w:szCs w:val="21"/>
          <w:highlight w:val="none"/>
          <w:lang w:val="en-US" w:eastAsia="zh-CN"/>
        </w:rPr>
        <w:t>参</w:t>
      </w:r>
      <w:r>
        <w:rPr>
          <w:rFonts w:hint="eastAsia" w:ascii="宋体" w:hAnsi="宋体" w:cs="宋体"/>
          <w:bCs/>
          <w:szCs w:val="21"/>
          <w:highlight w:val="none"/>
          <w:lang w:eastAsia="zh-CN"/>
        </w:rPr>
        <w:t>选</w:t>
      </w:r>
      <w:r>
        <w:rPr>
          <w:rFonts w:hint="eastAsia" w:ascii="宋体" w:hAnsi="宋体" w:cs="宋体"/>
          <w:bCs/>
          <w:szCs w:val="21"/>
          <w:highlight w:val="none"/>
        </w:rPr>
        <w:t>人</w:t>
      </w:r>
      <w:r>
        <w:rPr>
          <w:rFonts w:hint="eastAsia" w:ascii="宋体" w:hAnsi="宋体" w:cs="宋体"/>
          <w:bCs/>
          <w:szCs w:val="21"/>
          <w:highlight w:val="none"/>
          <w:lang w:val="en-US" w:eastAsia="zh-CN"/>
        </w:rPr>
        <w:t>应</w:t>
      </w:r>
      <w:r>
        <w:rPr>
          <w:rFonts w:hint="eastAsia" w:ascii="宋体" w:hAnsi="宋体" w:cs="宋体"/>
          <w:bCs/>
          <w:szCs w:val="21"/>
          <w:highlight w:val="none"/>
        </w:rPr>
        <w:t>按评审小组规定的时间、地点向评审小组作出书面澄清。</w:t>
      </w:r>
      <w:r>
        <w:rPr>
          <w:rFonts w:hint="eastAsia" w:ascii="宋体" w:hAnsi="宋体" w:cs="宋体"/>
          <w:bCs/>
          <w:szCs w:val="21"/>
          <w:highlight w:val="none"/>
          <w:lang w:val="en-US" w:eastAsia="zh-CN"/>
        </w:rPr>
        <w:t>参</w:t>
      </w:r>
      <w:r>
        <w:rPr>
          <w:rFonts w:hint="eastAsia" w:ascii="宋体" w:hAnsi="宋体" w:cs="宋体"/>
          <w:bCs/>
          <w:szCs w:val="21"/>
          <w:highlight w:val="none"/>
          <w:lang w:eastAsia="zh-CN"/>
        </w:rPr>
        <w:t>选</w:t>
      </w:r>
      <w:r>
        <w:rPr>
          <w:rFonts w:hint="eastAsia" w:ascii="宋体" w:hAnsi="宋体" w:cs="宋体"/>
          <w:bCs/>
          <w:szCs w:val="21"/>
          <w:highlight w:val="none"/>
        </w:rPr>
        <w:t>人未能按上述规定作出书面澄清的，则评审小组可以按不利于</w:t>
      </w:r>
      <w:r>
        <w:rPr>
          <w:rFonts w:hint="eastAsia" w:ascii="宋体" w:hAnsi="宋体" w:cs="宋体"/>
          <w:bCs/>
          <w:szCs w:val="21"/>
          <w:highlight w:val="none"/>
          <w:lang w:val="en-US" w:eastAsia="zh-CN"/>
        </w:rPr>
        <w:t>参</w:t>
      </w:r>
      <w:r>
        <w:rPr>
          <w:rFonts w:hint="eastAsia" w:ascii="宋体" w:hAnsi="宋体" w:cs="宋体"/>
          <w:bCs/>
          <w:szCs w:val="21"/>
          <w:highlight w:val="none"/>
          <w:lang w:eastAsia="zh-CN"/>
        </w:rPr>
        <w:t>选</w:t>
      </w:r>
      <w:r>
        <w:rPr>
          <w:rFonts w:hint="eastAsia" w:ascii="宋体" w:hAnsi="宋体" w:cs="宋体"/>
          <w:bCs/>
          <w:szCs w:val="21"/>
          <w:highlight w:val="none"/>
        </w:rPr>
        <w:t>人的情形认定。</w:t>
      </w:r>
      <w:r>
        <w:rPr>
          <w:rFonts w:hint="eastAsia" w:ascii="宋体" w:hAnsi="宋体" w:cs="宋体"/>
          <w:szCs w:val="21"/>
          <w:highlight w:val="none"/>
        </w:rPr>
        <w:t xml:space="preserve"> </w:t>
      </w:r>
    </w:p>
    <w:p w14:paraId="5DEAE161">
      <w:pPr>
        <w:spacing w:line="420" w:lineRule="exact"/>
        <w:ind w:firstLine="426"/>
        <w:rPr>
          <w:rFonts w:ascii="宋体" w:hAnsi="宋体" w:cs="宋体"/>
          <w:szCs w:val="21"/>
          <w:highlight w:val="none"/>
        </w:rPr>
      </w:pPr>
      <w:r>
        <w:rPr>
          <w:rFonts w:hint="eastAsia" w:ascii="宋体" w:hAnsi="宋体" w:cs="宋体"/>
          <w:szCs w:val="21"/>
          <w:highlight w:val="none"/>
        </w:rPr>
        <w:t>7</w:t>
      </w:r>
      <w:r>
        <w:rPr>
          <w:rFonts w:ascii="宋体" w:hAnsi="宋体" w:cs="宋体"/>
          <w:szCs w:val="21"/>
          <w:highlight w:val="none"/>
        </w:rPr>
        <w:t>.3</w:t>
      </w:r>
      <w:r>
        <w:rPr>
          <w:rFonts w:hint="eastAsia" w:ascii="宋体" w:hAnsi="宋体" w:cs="宋体"/>
          <w:szCs w:val="21"/>
          <w:highlight w:val="none"/>
        </w:rPr>
        <w:t>中选人名单在</w:t>
      </w:r>
      <w:r>
        <w:rPr>
          <w:rFonts w:hint="eastAsia" w:ascii="宋体" w:hAnsi="宋体" w:cs="宋体"/>
          <w:szCs w:val="21"/>
          <w:highlight w:val="none"/>
          <w:lang w:val="en-US" w:eastAsia="zh-CN"/>
        </w:rPr>
        <w:t>招选人公司网页、内网及</w:t>
      </w:r>
      <w:r>
        <w:rPr>
          <w:rFonts w:hint="eastAsia" w:ascii="宋体" w:hAnsi="宋体" w:cs="宋体"/>
          <w:szCs w:val="21"/>
          <w:highlight w:val="none"/>
        </w:rPr>
        <w:t>公示栏公示，公示期为3个日历天。</w:t>
      </w:r>
    </w:p>
    <w:bookmarkEnd w:id="466"/>
    <w:bookmarkEnd w:id="467"/>
    <w:bookmarkEnd w:id="468"/>
    <w:bookmarkEnd w:id="469"/>
    <w:bookmarkEnd w:id="470"/>
    <w:bookmarkEnd w:id="471"/>
    <w:p w14:paraId="103932C4">
      <w:pPr>
        <w:rPr>
          <w:rFonts w:hint="eastAsia" w:asciiTheme="majorEastAsia" w:hAnsiTheme="majorEastAsia" w:eastAsiaTheme="majorEastAsia"/>
          <w:sz w:val="36"/>
          <w:szCs w:val="36"/>
          <w:highlight w:val="none"/>
        </w:rPr>
      </w:pPr>
      <w:bookmarkStart w:id="522" w:name="_Toc511644534"/>
      <w:bookmarkStart w:id="523" w:name="_Toc120110848"/>
      <w:bookmarkStart w:id="524" w:name="_Toc515441350"/>
      <w:bookmarkStart w:id="525" w:name="_Toc511645148"/>
      <w:r>
        <w:rPr>
          <w:rFonts w:hint="eastAsia" w:asciiTheme="majorEastAsia" w:hAnsiTheme="majorEastAsia" w:eastAsiaTheme="majorEastAsia"/>
          <w:sz w:val="36"/>
          <w:szCs w:val="36"/>
          <w:highlight w:val="none"/>
        </w:rPr>
        <w:br w:type="page"/>
      </w:r>
    </w:p>
    <w:p w14:paraId="363FC562">
      <w:pPr>
        <w:pStyle w:val="62"/>
        <w:bidi w:val="0"/>
        <w:rPr>
          <w:rFonts w:hint="default"/>
          <w:highlight w:val="none"/>
          <w:lang w:val="en-US" w:eastAsia="zh-CN"/>
        </w:rPr>
      </w:pPr>
      <w:bookmarkStart w:id="526" w:name="_Toc11717"/>
      <w:bookmarkStart w:id="527" w:name="_Toc12361"/>
      <w:bookmarkStart w:id="528" w:name="_Toc27391"/>
      <w:bookmarkStart w:id="529" w:name="_Toc17860"/>
      <w:r>
        <w:rPr>
          <w:rFonts w:hint="eastAsia"/>
          <w:highlight w:val="none"/>
        </w:rPr>
        <w:t>第四章 合同</w:t>
      </w:r>
      <w:bookmarkEnd w:id="522"/>
      <w:bookmarkEnd w:id="523"/>
      <w:bookmarkEnd w:id="524"/>
      <w:bookmarkEnd w:id="525"/>
      <w:r>
        <w:rPr>
          <w:rFonts w:hint="eastAsia"/>
          <w:highlight w:val="none"/>
          <w:lang w:val="en-US" w:eastAsia="zh-CN"/>
        </w:rPr>
        <w:t>技术</w:t>
      </w:r>
      <w:bookmarkEnd w:id="526"/>
      <w:bookmarkEnd w:id="527"/>
      <w:r>
        <w:rPr>
          <w:rFonts w:hint="eastAsia"/>
          <w:highlight w:val="none"/>
          <w:lang w:val="en-US" w:eastAsia="zh-CN"/>
        </w:rPr>
        <w:t>标准和要求</w:t>
      </w:r>
      <w:bookmarkEnd w:id="528"/>
      <w:bookmarkEnd w:id="529"/>
    </w:p>
    <w:p w14:paraId="746C8088">
      <w:pPr>
        <w:spacing w:line="480" w:lineRule="exact"/>
        <w:ind w:firstLine="241" w:firstLineChars="100"/>
        <w:rPr>
          <w:rFonts w:hint="eastAsia" w:ascii="宋体" w:hAnsi="宋体" w:cs="宋体"/>
          <w:b/>
          <w:sz w:val="24"/>
          <w:szCs w:val="24"/>
          <w:highlight w:val="none"/>
        </w:rPr>
      </w:pPr>
    </w:p>
    <w:p w14:paraId="787D8610">
      <w:pPr>
        <w:numPr>
          <w:ilvl w:val="0"/>
          <w:numId w:val="6"/>
        </w:numPr>
        <w:spacing w:line="480" w:lineRule="exact"/>
        <w:ind w:left="0" w:leftChars="0" w:firstLine="420" w:firstLineChars="0"/>
        <w:rPr>
          <w:rFonts w:ascii="宋体" w:hAnsi="宋体" w:cs="宋体"/>
          <w:b/>
          <w:sz w:val="24"/>
          <w:szCs w:val="24"/>
          <w:highlight w:val="none"/>
        </w:rPr>
      </w:pPr>
      <w:r>
        <w:rPr>
          <w:rFonts w:hint="eastAsia" w:ascii="宋体" w:hAnsi="宋体" w:cs="宋体"/>
          <w:b/>
          <w:sz w:val="24"/>
          <w:szCs w:val="24"/>
          <w:highlight w:val="none"/>
        </w:rPr>
        <w:t>设备一般规定</w:t>
      </w:r>
    </w:p>
    <w:p w14:paraId="08EBA686">
      <w:pPr>
        <w:numPr>
          <w:ilvl w:val="0"/>
          <w:numId w:val="7"/>
        </w:numPr>
        <w:spacing w:line="480" w:lineRule="exact"/>
        <w:ind w:left="0" w:leftChars="0" w:firstLine="420" w:firstLineChars="0"/>
        <w:rPr>
          <w:rFonts w:ascii="宋体" w:hAnsi="宋体" w:cs="宋体"/>
          <w:szCs w:val="21"/>
          <w:highlight w:val="none"/>
        </w:rPr>
      </w:pPr>
      <w:r>
        <w:rPr>
          <w:rFonts w:hint="eastAsia" w:ascii="宋体" w:hAnsi="宋体" w:cs="宋体"/>
          <w:szCs w:val="21"/>
          <w:highlight w:val="none"/>
        </w:rPr>
        <w:t>供货范围及其说明</w:t>
      </w:r>
    </w:p>
    <w:p w14:paraId="0FAA0D1D">
      <w:pPr>
        <w:spacing w:line="480" w:lineRule="exact"/>
        <w:ind w:firstLine="420" w:firstLineChars="200"/>
        <w:rPr>
          <w:rFonts w:ascii="宋体" w:hAnsi="宋体" w:cs="宋体"/>
          <w:szCs w:val="21"/>
          <w:highlight w:val="none"/>
        </w:rPr>
      </w:pPr>
      <w:r>
        <w:rPr>
          <w:rFonts w:hint="eastAsia" w:ascii="宋体" w:hAnsi="宋体" w:cs="宋体"/>
          <w:szCs w:val="21"/>
          <w:highlight w:val="none"/>
        </w:rPr>
        <w:t>供货范围包括：</w:t>
      </w:r>
    </w:p>
    <w:p w14:paraId="1DDE9140">
      <w:pPr>
        <w:spacing w:line="480" w:lineRule="exact"/>
        <w:ind w:firstLine="420" w:firstLineChars="200"/>
        <w:rPr>
          <w:rFonts w:ascii="宋体" w:hAnsi="宋体" w:cs="宋体"/>
          <w:szCs w:val="21"/>
          <w:highlight w:val="none"/>
        </w:rPr>
      </w:pPr>
      <w:r>
        <w:rPr>
          <w:rFonts w:hint="eastAsia" w:ascii="宋体" w:hAnsi="宋体" w:cs="宋体"/>
          <w:szCs w:val="21"/>
          <w:highlight w:val="none"/>
        </w:rPr>
        <w:t>（a）电动蝶阀</w:t>
      </w:r>
      <w:r>
        <w:rPr>
          <w:rFonts w:hint="eastAsia" w:ascii="宋体" w:hAnsi="宋体" w:cs="宋体"/>
          <w:szCs w:val="21"/>
          <w:highlight w:val="none"/>
          <w:lang w:eastAsia="zh-CN"/>
        </w:rPr>
        <w:t>（</w:t>
      </w:r>
      <w:r>
        <w:rPr>
          <w:rFonts w:hint="eastAsia" w:ascii="宋体" w:hAnsi="宋体" w:cs="宋体"/>
          <w:szCs w:val="21"/>
          <w:highlight w:val="none"/>
        </w:rPr>
        <w:t>包括连接螺栓，螺母，垫片</w:t>
      </w:r>
      <w:r>
        <w:rPr>
          <w:rFonts w:hint="eastAsia" w:ascii="宋体" w:hAnsi="宋体" w:cs="宋体"/>
          <w:szCs w:val="21"/>
          <w:highlight w:val="none"/>
          <w:lang w:eastAsia="zh-CN"/>
        </w:rPr>
        <w:t>）</w:t>
      </w:r>
      <w:r>
        <w:rPr>
          <w:rFonts w:hint="eastAsia" w:ascii="宋体" w:hAnsi="宋体" w:cs="宋体"/>
          <w:szCs w:val="21"/>
          <w:highlight w:val="none"/>
        </w:rPr>
        <w:t>；</w:t>
      </w:r>
    </w:p>
    <w:p w14:paraId="4A804E29">
      <w:pPr>
        <w:spacing w:line="480" w:lineRule="exact"/>
        <w:ind w:firstLine="420" w:firstLineChars="200"/>
        <w:rPr>
          <w:rFonts w:ascii="宋体" w:hAnsi="宋体" w:cs="宋体"/>
          <w:szCs w:val="21"/>
          <w:highlight w:val="none"/>
        </w:rPr>
      </w:pPr>
      <w:r>
        <w:rPr>
          <w:rFonts w:hint="eastAsia" w:ascii="宋体" w:hAnsi="宋体" w:cs="宋体"/>
          <w:szCs w:val="21"/>
          <w:highlight w:val="none"/>
        </w:rPr>
        <w:t>（b）闸阀</w:t>
      </w:r>
      <w:r>
        <w:rPr>
          <w:rFonts w:hint="eastAsia" w:ascii="宋体" w:hAnsi="宋体" w:cs="宋体"/>
          <w:szCs w:val="21"/>
          <w:highlight w:val="none"/>
          <w:lang w:eastAsia="zh-CN"/>
        </w:rPr>
        <w:t>（</w:t>
      </w:r>
      <w:r>
        <w:rPr>
          <w:rFonts w:hint="eastAsia" w:ascii="宋体" w:hAnsi="宋体" w:cs="宋体"/>
          <w:szCs w:val="21"/>
          <w:highlight w:val="none"/>
        </w:rPr>
        <w:t>包括连接螺栓，螺母，垫片</w:t>
      </w:r>
      <w:r>
        <w:rPr>
          <w:rFonts w:hint="eastAsia" w:ascii="宋体" w:hAnsi="宋体" w:cs="宋体"/>
          <w:szCs w:val="21"/>
          <w:highlight w:val="none"/>
          <w:lang w:eastAsia="zh-CN"/>
        </w:rPr>
        <w:t>）</w:t>
      </w:r>
      <w:r>
        <w:rPr>
          <w:rFonts w:hint="eastAsia" w:ascii="宋体" w:hAnsi="宋体" w:cs="宋体"/>
          <w:szCs w:val="21"/>
          <w:highlight w:val="none"/>
        </w:rPr>
        <w:t>；</w:t>
      </w:r>
    </w:p>
    <w:p w14:paraId="4AA89414">
      <w:pPr>
        <w:spacing w:line="480" w:lineRule="exact"/>
        <w:ind w:firstLine="420" w:firstLineChars="200"/>
        <w:rPr>
          <w:rFonts w:ascii="宋体" w:hAnsi="宋体" w:cs="宋体"/>
          <w:szCs w:val="21"/>
          <w:highlight w:val="none"/>
        </w:rPr>
      </w:pPr>
      <w:r>
        <w:rPr>
          <w:rFonts w:hint="eastAsia" w:ascii="宋体" w:hAnsi="宋体" w:cs="宋体"/>
          <w:szCs w:val="21"/>
          <w:highlight w:val="none"/>
        </w:rPr>
        <w:t>（c）偏心半球阀</w:t>
      </w:r>
      <w:r>
        <w:rPr>
          <w:rFonts w:hint="eastAsia" w:ascii="宋体" w:hAnsi="宋体" w:cs="宋体"/>
          <w:szCs w:val="21"/>
          <w:highlight w:val="none"/>
          <w:lang w:eastAsia="zh-CN"/>
        </w:rPr>
        <w:t>（</w:t>
      </w:r>
      <w:r>
        <w:rPr>
          <w:rFonts w:hint="eastAsia" w:ascii="宋体" w:hAnsi="宋体" w:cs="宋体"/>
          <w:szCs w:val="21"/>
          <w:highlight w:val="none"/>
        </w:rPr>
        <w:t>包括连接螺栓，螺母，垫片</w:t>
      </w:r>
      <w:r>
        <w:rPr>
          <w:rFonts w:hint="eastAsia" w:ascii="宋体" w:hAnsi="宋体" w:cs="宋体"/>
          <w:szCs w:val="21"/>
          <w:highlight w:val="none"/>
          <w:lang w:eastAsia="zh-CN"/>
        </w:rPr>
        <w:t>）</w:t>
      </w:r>
      <w:r>
        <w:rPr>
          <w:rFonts w:hint="eastAsia" w:ascii="宋体" w:hAnsi="宋体" w:cs="宋体"/>
          <w:szCs w:val="21"/>
          <w:highlight w:val="none"/>
        </w:rPr>
        <w:t>；</w:t>
      </w:r>
    </w:p>
    <w:p w14:paraId="4060476B">
      <w:pPr>
        <w:spacing w:line="480" w:lineRule="exact"/>
        <w:ind w:firstLine="420" w:firstLineChars="200"/>
        <w:rPr>
          <w:rFonts w:ascii="宋体" w:hAnsi="宋体" w:cs="宋体"/>
          <w:szCs w:val="21"/>
          <w:highlight w:val="none"/>
        </w:rPr>
      </w:pPr>
      <w:r>
        <w:rPr>
          <w:rFonts w:hint="eastAsia" w:ascii="宋体" w:hAnsi="宋体" w:cs="宋体"/>
          <w:szCs w:val="21"/>
          <w:highlight w:val="none"/>
        </w:rPr>
        <w:t>（d）复合排气阀</w:t>
      </w:r>
      <w:r>
        <w:rPr>
          <w:rFonts w:hint="eastAsia" w:ascii="宋体" w:hAnsi="宋体" w:cs="宋体"/>
          <w:szCs w:val="21"/>
          <w:highlight w:val="none"/>
          <w:lang w:eastAsia="zh-CN"/>
        </w:rPr>
        <w:t>（</w:t>
      </w:r>
      <w:r>
        <w:rPr>
          <w:rFonts w:hint="eastAsia" w:ascii="宋体" w:hAnsi="宋体" w:cs="宋体"/>
          <w:szCs w:val="21"/>
          <w:highlight w:val="none"/>
        </w:rPr>
        <w:t>包括连接螺栓，螺母，垫片</w:t>
      </w:r>
      <w:r>
        <w:rPr>
          <w:rFonts w:hint="eastAsia" w:ascii="宋体" w:hAnsi="宋体" w:cs="宋体"/>
          <w:szCs w:val="21"/>
          <w:highlight w:val="none"/>
          <w:lang w:eastAsia="zh-CN"/>
        </w:rPr>
        <w:t>）</w:t>
      </w:r>
      <w:r>
        <w:rPr>
          <w:rFonts w:hint="eastAsia" w:ascii="宋体" w:hAnsi="宋体" w:cs="宋体"/>
          <w:szCs w:val="21"/>
          <w:highlight w:val="none"/>
        </w:rPr>
        <w:t>；</w:t>
      </w:r>
    </w:p>
    <w:p w14:paraId="648AAE77">
      <w:pPr>
        <w:spacing w:line="480" w:lineRule="exact"/>
        <w:ind w:firstLine="420" w:firstLineChars="200"/>
        <w:rPr>
          <w:rFonts w:ascii="宋体" w:hAnsi="宋体" w:cs="宋体"/>
          <w:szCs w:val="21"/>
          <w:highlight w:val="none"/>
        </w:rPr>
      </w:pPr>
      <w:r>
        <w:rPr>
          <w:rFonts w:hint="eastAsia" w:ascii="宋体" w:hAnsi="宋体" w:cs="宋体"/>
          <w:szCs w:val="21"/>
          <w:highlight w:val="none"/>
        </w:rPr>
        <w:t>（e）伸缩节</w:t>
      </w:r>
      <w:r>
        <w:rPr>
          <w:rFonts w:hint="eastAsia" w:ascii="宋体" w:hAnsi="宋体" w:cs="宋体"/>
          <w:szCs w:val="21"/>
          <w:highlight w:val="none"/>
          <w:lang w:eastAsia="zh-CN"/>
        </w:rPr>
        <w:t>（</w:t>
      </w:r>
      <w:r>
        <w:rPr>
          <w:rFonts w:hint="eastAsia" w:ascii="宋体" w:hAnsi="宋体" w:cs="宋体"/>
          <w:szCs w:val="21"/>
          <w:highlight w:val="none"/>
        </w:rPr>
        <w:t>包括连接螺栓，螺母，垫片</w:t>
      </w:r>
      <w:r>
        <w:rPr>
          <w:rFonts w:hint="eastAsia" w:ascii="宋体" w:hAnsi="宋体" w:cs="宋体"/>
          <w:szCs w:val="21"/>
          <w:highlight w:val="none"/>
          <w:lang w:eastAsia="zh-CN"/>
        </w:rPr>
        <w:t>）</w:t>
      </w:r>
      <w:r>
        <w:rPr>
          <w:rFonts w:hint="eastAsia" w:ascii="宋体" w:hAnsi="宋体" w:cs="宋体"/>
          <w:szCs w:val="21"/>
          <w:highlight w:val="none"/>
        </w:rPr>
        <w:t>；</w:t>
      </w:r>
    </w:p>
    <w:p w14:paraId="647D77E9">
      <w:pPr>
        <w:spacing w:line="480" w:lineRule="exact"/>
        <w:ind w:firstLine="420" w:firstLineChars="200"/>
        <w:rPr>
          <w:rFonts w:ascii="宋体" w:hAnsi="宋体" w:cs="宋体"/>
          <w:szCs w:val="21"/>
          <w:highlight w:val="none"/>
        </w:rPr>
      </w:pPr>
      <w:r>
        <w:rPr>
          <w:rFonts w:hint="eastAsia" w:ascii="宋体" w:hAnsi="宋体" w:cs="宋体"/>
          <w:szCs w:val="21"/>
          <w:highlight w:val="none"/>
        </w:rPr>
        <w:t>（f）法兰盘、橡胶垫片。</w:t>
      </w:r>
    </w:p>
    <w:p w14:paraId="4B96DC1A">
      <w:pPr>
        <w:spacing w:line="480" w:lineRule="exact"/>
        <w:ind w:firstLine="420" w:firstLineChars="200"/>
        <w:rPr>
          <w:rFonts w:ascii="宋体" w:hAnsi="宋体" w:cs="宋体"/>
          <w:szCs w:val="21"/>
          <w:highlight w:val="none"/>
        </w:rPr>
      </w:pPr>
      <w:r>
        <w:rPr>
          <w:rFonts w:hint="eastAsia" w:ascii="宋体" w:hAnsi="宋体" w:cs="宋体"/>
          <w:szCs w:val="21"/>
          <w:highlight w:val="none"/>
        </w:rPr>
        <w:t>承包人保证提供设备为全新的、先进的、成熟的、完整的和安全可靠的，且设备的技术经济性能符合相应的技术要求。随产品一并供应备品备件和专用工具、随机文件等。随机文件的内容及套数应符合有关规定：装箱单、产品说明书、产品合格证明书（包括检验卡）、安装使用维护说明书以及按规定提供的出厂图纸与资料等。所提供产品、设备的安装、试验提供现场技术服务，对设备的运行操作人员提供技术培训服务。</w:t>
      </w:r>
    </w:p>
    <w:p w14:paraId="08D99687">
      <w:pPr>
        <w:spacing w:line="480" w:lineRule="exact"/>
        <w:ind w:firstLine="420" w:firstLineChars="200"/>
        <w:rPr>
          <w:rFonts w:ascii="宋体" w:hAnsi="宋体" w:cs="宋体"/>
          <w:szCs w:val="21"/>
          <w:highlight w:val="none"/>
        </w:rPr>
      </w:pPr>
      <w:r>
        <w:rPr>
          <w:rFonts w:hint="eastAsia" w:ascii="宋体" w:hAnsi="宋体" w:cs="宋体"/>
          <w:szCs w:val="21"/>
          <w:highlight w:val="none"/>
        </w:rPr>
        <w:t>上述设备的交货地点为发包人指定场所，即以汽车运至指定场所（含卸车）。</w:t>
      </w:r>
    </w:p>
    <w:p w14:paraId="695A1DBA">
      <w:pPr>
        <w:spacing w:line="480" w:lineRule="exact"/>
        <w:ind w:firstLine="420" w:firstLineChars="200"/>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二</w:t>
      </w:r>
      <w:r>
        <w:rPr>
          <w:rFonts w:hint="eastAsia" w:ascii="宋体" w:hAnsi="宋体" w:cs="宋体"/>
          <w:szCs w:val="21"/>
          <w:highlight w:val="none"/>
          <w:lang w:eastAsia="zh-CN"/>
        </w:rPr>
        <w:t>）</w:t>
      </w:r>
      <w:r>
        <w:rPr>
          <w:rFonts w:hint="eastAsia" w:ascii="宋体" w:hAnsi="宋体" w:cs="宋体"/>
          <w:szCs w:val="21"/>
          <w:highlight w:val="none"/>
        </w:rPr>
        <w:t xml:space="preserve"> 标准与工艺</w:t>
      </w:r>
    </w:p>
    <w:p w14:paraId="597E6857">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 xml:space="preserve">2.1  </w:t>
      </w:r>
      <w:r>
        <w:rPr>
          <w:rFonts w:hint="eastAsia" w:ascii="宋体" w:hAnsi="宋体" w:cs="宋体"/>
          <w:szCs w:val="21"/>
          <w:highlight w:val="none"/>
          <w:lang w:eastAsia="zh-CN"/>
        </w:rPr>
        <w:t>招选</w:t>
      </w:r>
      <w:r>
        <w:rPr>
          <w:rFonts w:hint="eastAsia" w:ascii="宋体" w:hAnsi="宋体" w:cs="宋体"/>
          <w:szCs w:val="21"/>
          <w:highlight w:val="none"/>
        </w:rPr>
        <w:t>文件中采用的技术标准名称与编写代号：</w:t>
      </w:r>
    </w:p>
    <w:p w14:paraId="7E4F3EB4">
      <w:pPr>
        <w:spacing w:line="480" w:lineRule="exact"/>
        <w:ind w:firstLine="840" w:firstLineChars="400"/>
        <w:rPr>
          <w:rFonts w:ascii="宋体" w:hAnsi="宋体" w:cs="宋体"/>
          <w:szCs w:val="21"/>
          <w:highlight w:val="none"/>
        </w:rPr>
      </w:pPr>
      <w:r>
        <w:rPr>
          <w:rFonts w:hint="eastAsia" w:ascii="宋体" w:hAnsi="宋体" w:cs="宋体"/>
          <w:szCs w:val="21"/>
          <w:highlight w:val="none"/>
        </w:rPr>
        <w:t>机构名称                  编  写</w:t>
      </w:r>
    </w:p>
    <w:p w14:paraId="12A2A897">
      <w:pPr>
        <w:spacing w:line="480" w:lineRule="exact"/>
        <w:ind w:firstLine="840" w:firstLineChars="400"/>
        <w:rPr>
          <w:rFonts w:ascii="宋体" w:hAnsi="宋体" w:cs="宋体"/>
          <w:szCs w:val="21"/>
          <w:highlight w:val="none"/>
        </w:rPr>
      </w:pPr>
      <w:r>
        <w:rPr>
          <w:rFonts w:hint="eastAsia" w:ascii="宋体" w:hAnsi="宋体" w:cs="宋体"/>
          <w:szCs w:val="21"/>
          <w:highlight w:val="none"/>
        </w:rPr>
        <w:t>国际电工委员会              IEC</w:t>
      </w:r>
    </w:p>
    <w:p w14:paraId="0E93D3E0">
      <w:pPr>
        <w:spacing w:line="480" w:lineRule="exact"/>
        <w:ind w:firstLine="840" w:firstLineChars="400"/>
        <w:rPr>
          <w:rFonts w:ascii="宋体" w:hAnsi="宋体" w:cs="宋体"/>
          <w:szCs w:val="21"/>
          <w:highlight w:val="none"/>
        </w:rPr>
      </w:pPr>
      <w:r>
        <w:rPr>
          <w:rFonts w:hint="eastAsia" w:ascii="宋体" w:hAnsi="宋体" w:cs="宋体"/>
          <w:szCs w:val="21"/>
          <w:highlight w:val="none"/>
        </w:rPr>
        <w:t>国际标准化组织              ISO</w:t>
      </w:r>
    </w:p>
    <w:p w14:paraId="63E7B44D">
      <w:pPr>
        <w:spacing w:line="480" w:lineRule="exact"/>
        <w:ind w:firstLine="840" w:firstLineChars="400"/>
        <w:rPr>
          <w:rFonts w:ascii="宋体" w:hAnsi="宋体" w:cs="宋体"/>
          <w:szCs w:val="21"/>
          <w:highlight w:val="none"/>
        </w:rPr>
      </w:pPr>
      <w:r>
        <w:rPr>
          <w:rFonts w:hint="eastAsia" w:ascii="宋体" w:hAnsi="宋体" w:cs="宋体"/>
          <w:szCs w:val="21"/>
          <w:highlight w:val="none"/>
        </w:rPr>
        <w:t>美国标准及试验学会          ASTM</w:t>
      </w:r>
    </w:p>
    <w:p w14:paraId="7F7E84E5">
      <w:pPr>
        <w:spacing w:line="480" w:lineRule="exact"/>
        <w:ind w:firstLine="840" w:firstLineChars="400"/>
        <w:rPr>
          <w:rFonts w:ascii="宋体" w:hAnsi="宋体" w:cs="宋体"/>
          <w:szCs w:val="21"/>
          <w:highlight w:val="none"/>
        </w:rPr>
      </w:pPr>
      <w:r>
        <w:rPr>
          <w:rFonts w:hint="eastAsia" w:ascii="宋体" w:hAnsi="宋体" w:cs="宋体"/>
          <w:szCs w:val="21"/>
          <w:highlight w:val="none"/>
        </w:rPr>
        <w:t>美国机械工程师协会          ASME</w:t>
      </w:r>
    </w:p>
    <w:p w14:paraId="6C7D5BBD">
      <w:pPr>
        <w:spacing w:line="480" w:lineRule="exact"/>
        <w:ind w:firstLine="840" w:firstLineChars="400"/>
        <w:rPr>
          <w:rFonts w:ascii="宋体" w:hAnsi="宋体" w:cs="宋体"/>
          <w:szCs w:val="21"/>
          <w:highlight w:val="none"/>
        </w:rPr>
      </w:pPr>
      <w:r>
        <w:rPr>
          <w:rFonts w:hint="eastAsia" w:ascii="宋体" w:hAnsi="宋体" w:cs="宋体"/>
          <w:szCs w:val="21"/>
          <w:highlight w:val="none"/>
        </w:rPr>
        <w:t>中华人民共和国国家标准      GB</w:t>
      </w:r>
    </w:p>
    <w:p w14:paraId="75D54819">
      <w:pPr>
        <w:spacing w:line="480" w:lineRule="exact"/>
        <w:ind w:firstLine="840" w:firstLineChars="400"/>
        <w:rPr>
          <w:rFonts w:ascii="宋体" w:hAnsi="宋体" w:cs="宋体"/>
          <w:szCs w:val="21"/>
          <w:highlight w:val="none"/>
        </w:rPr>
      </w:pPr>
      <w:r>
        <w:rPr>
          <w:rFonts w:hint="eastAsia" w:ascii="宋体" w:hAnsi="宋体" w:cs="宋体"/>
          <w:szCs w:val="21"/>
          <w:highlight w:val="none"/>
        </w:rPr>
        <w:t>水利行业标准                SL</w:t>
      </w:r>
    </w:p>
    <w:p w14:paraId="5A13A903">
      <w:pPr>
        <w:spacing w:line="480" w:lineRule="exact"/>
        <w:ind w:firstLine="840" w:firstLineChars="400"/>
        <w:rPr>
          <w:rFonts w:ascii="宋体" w:hAnsi="宋体" w:cs="宋体"/>
          <w:szCs w:val="21"/>
          <w:highlight w:val="none"/>
        </w:rPr>
      </w:pPr>
      <w:r>
        <w:rPr>
          <w:rFonts w:hint="eastAsia" w:ascii="宋体" w:hAnsi="宋体" w:cs="宋体"/>
          <w:szCs w:val="21"/>
          <w:highlight w:val="none"/>
        </w:rPr>
        <w:t>其他行业标准</w:t>
      </w:r>
    </w:p>
    <w:p w14:paraId="4FE2AC5A">
      <w:pPr>
        <w:spacing w:line="480" w:lineRule="exact"/>
        <w:rPr>
          <w:rFonts w:ascii="宋体" w:hAnsi="宋体" w:cs="宋体"/>
          <w:szCs w:val="21"/>
          <w:highlight w:val="none"/>
        </w:rPr>
      </w:pPr>
      <w:r>
        <w:rPr>
          <w:rFonts w:hint="eastAsia" w:ascii="宋体" w:hAnsi="宋体" w:cs="宋体"/>
          <w:szCs w:val="21"/>
          <w:highlight w:val="none"/>
        </w:rPr>
        <w:t xml:space="preserve">    上述标准中，优先采用中华人民共和国国家标准及水利行业标准。在国内标准缺项或不完善时，可参考选用相应的国际标准或其它国家标准。</w:t>
      </w:r>
    </w:p>
    <w:p w14:paraId="453DCCC6">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2.2  所有螺丝、螺母、螺栓、螺杆和有关管件的螺纹应使用GB或ISO标准。</w:t>
      </w:r>
    </w:p>
    <w:p w14:paraId="0504A53F">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2.3  如果承包人采用与标准文件列举以外</w:t>
      </w:r>
      <w:r>
        <w:rPr>
          <w:rFonts w:hint="eastAsia" w:ascii="宋体" w:hAnsi="宋体" w:cs="宋体"/>
          <w:szCs w:val="21"/>
          <w:highlight w:val="none"/>
          <w:lang w:eastAsia="zh-CN"/>
        </w:rPr>
        <w:t>的其他标准</w:t>
      </w:r>
      <w:r>
        <w:rPr>
          <w:rFonts w:hint="eastAsia" w:ascii="宋体" w:hAnsi="宋体" w:cs="宋体"/>
          <w:szCs w:val="21"/>
          <w:highlight w:val="none"/>
        </w:rPr>
        <w:t>时，须在</w:t>
      </w:r>
      <w:r>
        <w:rPr>
          <w:rFonts w:hint="eastAsia" w:ascii="宋体" w:hAnsi="宋体" w:cs="宋体"/>
          <w:szCs w:val="21"/>
          <w:highlight w:val="none"/>
          <w:lang w:eastAsia="zh-CN"/>
        </w:rPr>
        <w:t>参选</w:t>
      </w:r>
      <w:r>
        <w:rPr>
          <w:rFonts w:hint="eastAsia" w:ascii="宋体" w:hAnsi="宋体" w:cs="宋体"/>
          <w:szCs w:val="21"/>
          <w:highlight w:val="none"/>
        </w:rPr>
        <w:t>中加以说明，并经监理工程师同意方能使用。</w:t>
      </w:r>
    </w:p>
    <w:p w14:paraId="6DCFCBFB">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2.4  设备制造应采用先进的工艺，以保证各种运行情况下运行可靠。所有部件的结构、尺寸和材料应做到在各种应力下不产生扭曲和过量磨损。</w:t>
      </w:r>
    </w:p>
    <w:p w14:paraId="690E0CDC">
      <w:pPr>
        <w:spacing w:line="480" w:lineRule="exact"/>
        <w:ind w:firstLine="420" w:firstLineChars="200"/>
        <w:rPr>
          <w:rFonts w:ascii="宋体" w:hAnsi="宋体" w:cs="宋体"/>
          <w:szCs w:val="21"/>
          <w:highlight w:val="none"/>
        </w:rPr>
      </w:pPr>
      <w:r>
        <w:rPr>
          <w:rFonts w:hint="eastAsia" w:ascii="宋体" w:hAnsi="宋体" w:cs="宋体"/>
          <w:szCs w:val="21"/>
          <w:highlight w:val="none"/>
        </w:rPr>
        <w:t>零部件应有良好的互换性和便于检修。</w:t>
      </w:r>
    </w:p>
    <w:p w14:paraId="5D276B03">
      <w:pPr>
        <w:spacing w:line="480" w:lineRule="exact"/>
        <w:ind w:firstLine="420" w:firstLineChars="200"/>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三</w:t>
      </w:r>
      <w:r>
        <w:rPr>
          <w:rFonts w:hint="eastAsia" w:ascii="宋体" w:hAnsi="宋体" w:cs="宋体"/>
          <w:szCs w:val="21"/>
          <w:highlight w:val="none"/>
          <w:lang w:eastAsia="zh-CN"/>
        </w:rPr>
        <w:t>）</w:t>
      </w:r>
      <w:r>
        <w:rPr>
          <w:rFonts w:hint="eastAsia" w:ascii="宋体" w:hAnsi="宋体" w:cs="宋体"/>
          <w:szCs w:val="21"/>
          <w:highlight w:val="none"/>
        </w:rPr>
        <w:t>材料与设备</w:t>
      </w:r>
    </w:p>
    <w:p w14:paraId="5725DF31">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3.1  材料</w:t>
      </w:r>
    </w:p>
    <w:p w14:paraId="3A6C887B">
      <w:pPr>
        <w:spacing w:line="480" w:lineRule="exact"/>
        <w:ind w:firstLine="420" w:firstLineChars="200"/>
        <w:rPr>
          <w:rFonts w:ascii="宋体" w:hAnsi="宋体" w:cs="宋体"/>
          <w:szCs w:val="21"/>
          <w:highlight w:val="none"/>
        </w:rPr>
      </w:pPr>
      <w:r>
        <w:rPr>
          <w:rFonts w:hint="eastAsia" w:ascii="宋体" w:hAnsi="宋体" w:cs="宋体"/>
          <w:szCs w:val="21"/>
          <w:highlight w:val="none"/>
        </w:rPr>
        <w:t>（1）应采用符合要求、无缺陷的优质材料，如主要材料采用代用材料时，应经监理人审查并书面同意。</w:t>
      </w:r>
    </w:p>
    <w:p w14:paraId="28BA9621">
      <w:pPr>
        <w:spacing w:line="480" w:lineRule="exact"/>
        <w:ind w:firstLine="420" w:firstLineChars="200"/>
        <w:rPr>
          <w:rFonts w:ascii="宋体" w:hAnsi="宋体" w:cs="宋体"/>
          <w:szCs w:val="21"/>
          <w:highlight w:val="none"/>
        </w:rPr>
      </w:pPr>
      <w:r>
        <w:rPr>
          <w:rFonts w:hint="eastAsia" w:ascii="宋体" w:hAnsi="宋体" w:cs="宋体"/>
          <w:szCs w:val="21"/>
          <w:highlight w:val="none"/>
        </w:rPr>
        <w:t>（2）材料标准</w:t>
      </w:r>
    </w:p>
    <w:p w14:paraId="21A2911F">
      <w:pPr>
        <w:spacing w:line="480" w:lineRule="exact"/>
        <w:ind w:firstLine="420" w:firstLineChars="200"/>
        <w:rPr>
          <w:rFonts w:ascii="宋体" w:hAnsi="宋体" w:cs="宋体"/>
          <w:szCs w:val="21"/>
          <w:highlight w:val="none"/>
        </w:rPr>
      </w:pPr>
      <w:r>
        <w:rPr>
          <w:rFonts w:hint="eastAsia" w:ascii="宋体" w:hAnsi="宋体" w:cs="宋体"/>
          <w:szCs w:val="21"/>
          <w:highlight w:val="none"/>
        </w:rPr>
        <w:t>1）《优质碳素结构钢》</w:t>
      </w:r>
      <w:r>
        <w:rPr>
          <w:rFonts w:hint="eastAsia" w:ascii="宋体" w:hAnsi="宋体" w:cs="宋体"/>
          <w:szCs w:val="21"/>
          <w:highlight w:val="none"/>
          <w:lang w:eastAsia="zh-CN"/>
        </w:rPr>
        <w:t>（</w:t>
      </w:r>
      <w:r>
        <w:rPr>
          <w:rFonts w:hint="eastAsia" w:ascii="宋体" w:hAnsi="宋体" w:cs="宋体"/>
          <w:szCs w:val="21"/>
          <w:highlight w:val="none"/>
        </w:rPr>
        <w:t>GB/T 699-2015</w:t>
      </w:r>
      <w:r>
        <w:rPr>
          <w:rFonts w:hint="eastAsia" w:ascii="宋体" w:hAnsi="宋体" w:cs="宋体"/>
          <w:szCs w:val="21"/>
          <w:highlight w:val="none"/>
          <w:lang w:eastAsia="zh-CN"/>
        </w:rPr>
        <w:t>）</w:t>
      </w:r>
      <w:r>
        <w:rPr>
          <w:rFonts w:hint="eastAsia" w:ascii="宋体" w:hAnsi="宋体" w:cs="宋体"/>
          <w:szCs w:val="21"/>
          <w:highlight w:val="none"/>
        </w:rPr>
        <w:t>；</w:t>
      </w:r>
    </w:p>
    <w:p w14:paraId="7FF5C39B">
      <w:pPr>
        <w:spacing w:line="480" w:lineRule="exact"/>
        <w:ind w:firstLine="420" w:firstLineChars="200"/>
        <w:rPr>
          <w:rFonts w:ascii="宋体" w:hAnsi="宋体" w:cs="宋体"/>
          <w:szCs w:val="21"/>
          <w:highlight w:val="none"/>
        </w:rPr>
      </w:pPr>
      <w:r>
        <w:rPr>
          <w:rFonts w:hint="eastAsia" w:ascii="宋体" w:hAnsi="宋体" w:cs="宋体"/>
          <w:szCs w:val="21"/>
          <w:highlight w:val="none"/>
        </w:rPr>
        <w:t>2）《碳素结构钢》（GB/T 700-2016）；</w:t>
      </w:r>
    </w:p>
    <w:p w14:paraId="40856806">
      <w:pPr>
        <w:spacing w:line="480" w:lineRule="exact"/>
        <w:ind w:firstLine="420" w:firstLineChars="200"/>
        <w:rPr>
          <w:rFonts w:ascii="宋体" w:hAnsi="宋体" w:cs="宋体"/>
          <w:szCs w:val="21"/>
          <w:highlight w:val="none"/>
        </w:rPr>
      </w:pPr>
      <w:r>
        <w:rPr>
          <w:rFonts w:hint="eastAsia" w:ascii="宋体" w:hAnsi="宋体" w:cs="宋体"/>
          <w:szCs w:val="21"/>
          <w:highlight w:val="none"/>
        </w:rPr>
        <w:t>3）《低合金高强度结构钢》（GB/T 1591-2018）；</w:t>
      </w:r>
    </w:p>
    <w:p w14:paraId="0713AED8">
      <w:pPr>
        <w:spacing w:line="480" w:lineRule="exact"/>
        <w:ind w:firstLine="420" w:firstLineChars="200"/>
        <w:rPr>
          <w:rFonts w:ascii="宋体" w:hAnsi="宋体" w:cs="宋体"/>
          <w:szCs w:val="21"/>
          <w:highlight w:val="none"/>
        </w:rPr>
      </w:pPr>
      <w:r>
        <w:rPr>
          <w:rFonts w:hint="eastAsia" w:ascii="宋体" w:hAnsi="宋体" w:cs="宋体"/>
          <w:szCs w:val="21"/>
          <w:highlight w:val="none"/>
        </w:rPr>
        <w:t>4）《合金结构钢》（GB/T 3077-2015）；</w:t>
      </w:r>
    </w:p>
    <w:p w14:paraId="7803CDD5">
      <w:pPr>
        <w:spacing w:line="480" w:lineRule="exact"/>
        <w:ind w:firstLine="420" w:firstLineChars="200"/>
        <w:rPr>
          <w:rFonts w:ascii="宋体" w:hAnsi="宋体" w:cs="宋体"/>
          <w:szCs w:val="21"/>
          <w:highlight w:val="none"/>
        </w:rPr>
      </w:pPr>
      <w:r>
        <w:rPr>
          <w:rFonts w:hint="eastAsia" w:ascii="宋体" w:hAnsi="宋体" w:cs="宋体"/>
          <w:szCs w:val="21"/>
          <w:highlight w:val="none"/>
        </w:rPr>
        <w:t>5）《一般工程用铸造碳钢件》（GB/T 11352-2009）；</w:t>
      </w:r>
    </w:p>
    <w:p w14:paraId="071E1535">
      <w:pPr>
        <w:spacing w:line="480" w:lineRule="exact"/>
        <w:ind w:firstLine="420" w:firstLineChars="200"/>
        <w:rPr>
          <w:rFonts w:ascii="宋体" w:hAnsi="宋体" w:cs="宋体"/>
          <w:szCs w:val="21"/>
          <w:highlight w:val="none"/>
        </w:rPr>
      </w:pPr>
      <w:r>
        <w:rPr>
          <w:rFonts w:hint="eastAsia" w:ascii="宋体" w:hAnsi="宋体" w:cs="宋体"/>
          <w:szCs w:val="21"/>
          <w:highlight w:val="none"/>
        </w:rPr>
        <w:t>6）《灰铸铁件》（GB/T 9439-2010）；</w:t>
      </w:r>
    </w:p>
    <w:p w14:paraId="3CE63510">
      <w:pPr>
        <w:spacing w:line="480" w:lineRule="exact"/>
        <w:ind w:firstLine="420" w:firstLineChars="200"/>
        <w:rPr>
          <w:rFonts w:ascii="宋体" w:hAnsi="宋体" w:cs="宋体"/>
          <w:szCs w:val="21"/>
          <w:highlight w:val="none"/>
        </w:rPr>
      </w:pPr>
      <w:r>
        <w:rPr>
          <w:rFonts w:hint="eastAsia" w:ascii="宋体" w:hAnsi="宋体" w:cs="宋体"/>
          <w:szCs w:val="21"/>
          <w:highlight w:val="none"/>
        </w:rPr>
        <w:t>7）《铸造铜及铜合金》（GB/T 1176-2013）；</w:t>
      </w:r>
    </w:p>
    <w:p w14:paraId="3E7C1C68">
      <w:pPr>
        <w:spacing w:line="480" w:lineRule="exact"/>
        <w:ind w:firstLine="420" w:firstLineChars="200"/>
        <w:rPr>
          <w:rFonts w:ascii="宋体" w:hAnsi="宋体" w:cs="宋体"/>
          <w:szCs w:val="21"/>
          <w:highlight w:val="none"/>
        </w:rPr>
      </w:pPr>
      <w:r>
        <w:rPr>
          <w:rFonts w:hint="eastAsia" w:ascii="宋体" w:hAnsi="宋体" w:cs="宋体"/>
          <w:szCs w:val="21"/>
          <w:highlight w:val="none"/>
        </w:rPr>
        <w:t>8）《碳素结构钢和低合金结构钢 热轧薄钢板和钢带》（GB 912-2008）；</w:t>
      </w:r>
    </w:p>
    <w:p w14:paraId="6F3B6EDC">
      <w:pPr>
        <w:spacing w:line="480" w:lineRule="exact"/>
        <w:ind w:firstLine="420" w:firstLineChars="200"/>
        <w:rPr>
          <w:rFonts w:ascii="宋体" w:hAnsi="宋体" w:cs="宋体"/>
          <w:szCs w:val="21"/>
          <w:highlight w:val="none"/>
        </w:rPr>
      </w:pPr>
      <w:r>
        <w:rPr>
          <w:rFonts w:hint="eastAsia" w:ascii="宋体" w:hAnsi="宋体" w:cs="宋体"/>
          <w:szCs w:val="21"/>
          <w:highlight w:val="none"/>
        </w:rPr>
        <w:t>9）《碳素结构钢和低合金结构钢 热轧钢板和钢带》（GB/T 3274-2017）；</w:t>
      </w:r>
    </w:p>
    <w:p w14:paraId="5365E1F6">
      <w:pPr>
        <w:spacing w:line="480" w:lineRule="exact"/>
        <w:ind w:firstLine="420" w:firstLineChars="200"/>
        <w:rPr>
          <w:rFonts w:ascii="宋体" w:hAnsi="宋体" w:cs="宋体"/>
          <w:szCs w:val="21"/>
          <w:highlight w:val="none"/>
        </w:rPr>
      </w:pPr>
      <w:r>
        <w:rPr>
          <w:rFonts w:hint="eastAsia" w:ascii="宋体" w:hAnsi="宋体" w:cs="宋体"/>
          <w:szCs w:val="21"/>
          <w:highlight w:val="none"/>
        </w:rPr>
        <w:t>10）《锅炉和压力容器用钢板》（GB 713-2014）；</w:t>
      </w:r>
    </w:p>
    <w:p w14:paraId="353054C9">
      <w:pPr>
        <w:spacing w:line="480" w:lineRule="exact"/>
        <w:ind w:firstLine="420" w:firstLineChars="200"/>
        <w:rPr>
          <w:rFonts w:ascii="宋体" w:hAnsi="宋体" w:cs="宋体"/>
          <w:szCs w:val="21"/>
          <w:highlight w:val="none"/>
        </w:rPr>
      </w:pPr>
      <w:r>
        <w:rPr>
          <w:rFonts w:hint="eastAsia" w:ascii="宋体" w:hAnsi="宋体" w:cs="宋体"/>
          <w:szCs w:val="21"/>
          <w:highlight w:val="none"/>
        </w:rPr>
        <w:t>11）《结构用不锈钢无缝钢管》（GB/T 14975-2012）；</w:t>
      </w:r>
    </w:p>
    <w:p w14:paraId="470591AB">
      <w:pPr>
        <w:spacing w:line="480" w:lineRule="exact"/>
        <w:ind w:firstLine="420" w:firstLineChars="200"/>
        <w:rPr>
          <w:rFonts w:ascii="宋体" w:hAnsi="宋体" w:cs="宋体"/>
          <w:szCs w:val="21"/>
          <w:highlight w:val="none"/>
        </w:rPr>
      </w:pPr>
      <w:r>
        <w:rPr>
          <w:rFonts w:hint="eastAsia" w:ascii="宋体" w:hAnsi="宋体" w:cs="宋体"/>
          <w:szCs w:val="21"/>
          <w:highlight w:val="none"/>
        </w:rPr>
        <w:t>12）《低压流体输送用焊接钢管》（GB/T 3091-2015）；</w:t>
      </w:r>
    </w:p>
    <w:p w14:paraId="400F0F3D">
      <w:pPr>
        <w:spacing w:line="480" w:lineRule="exact"/>
        <w:ind w:firstLine="420" w:firstLineChars="200"/>
        <w:rPr>
          <w:rFonts w:ascii="宋体" w:hAnsi="宋体" w:cs="宋体"/>
          <w:szCs w:val="21"/>
          <w:highlight w:val="none"/>
        </w:rPr>
      </w:pPr>
      <w:r>
        <w:rPr>
          <w:rFonts w:hint="eastAsia" w:ascii="宋体" w:hAnsi="宋体" w:cs="宋体"/>
          <w:szCs w:val="21"/>
          <w:highlight w:val="none"/>
        </w:rPr>
        <w:t>13）《结构钢技术规范》（ASTM  A36）；</w:t>
      </w:r>
    </w:p>
    <w:p w14:paraId="6EC3C792">
      <w:pPr>
        <w:spacing w:line="480" w:lineRule="exact"/>
        <w:ind w:firstLine="420" w:firstLineChars="200"/>
        <w:rPr>
          <w:rFonts w:ascii="宋体" w:hAnsi="宋体" w:cs="宋体"/>
          <w:szCs w:val="21"/>
          <w:highlight w:val="none"/>
        </w:rPr>
      </w:pPr>
      <w:r>
        <w:rPr>
          <w:rFonts w:hint="eastAsia" w:ascii="宋体" w:hAnsi="宋体" w:cs="宋体"/>
          <w:szCs w:val="21"/>
          <w:highlight w:val="none"/>
        </w:rPr>
        <w:t>14）《普通低、中强度碳素钢铸钢技术规范》（ASTM  A27）；</w:t>
      </w:r>
    </w:p>
    <w:p w14:paraId="314DDFD8">
      <w:pPr>
        <w:spacing w:line="480" w:lineRule="exact"/>
        <w:ind w:firstLine="420" w:firstLineChars="200"/>
        <w:rPr>
          <w:rFonts w:ascii="宋体" w:hAnsi="宋体" w:cs="宋体"/>
          <w:szCs w:val="21"/>
          <w:highlight w:val="none"/>
        </w:rPr>
      </w:pPr>
      <w:r>
        <w:rPr>
          <w:rFonts w:hint="eastAsia" w:ascii="宋体" w:hAnsi="宋体" w:cs="宋体"/>
          <w:szCs w:val="21"/>
          <w:highlight w:val="none"/>
        </w:rPr>
        <w:t>15）《灰口铸铁技术规范（30级）》（ASTM  A48）；</w:t>
      </w:r>
    </w:p>
    <w:p w14:paraId="1BAF2133">
      <w:pPr>
        <w:spacing w:line="480" w:lineRule="exact"/>
        <w:ind w:firstLine="420" w:firstLineChars="200"/>
        <w:rPr>
          <w:rFonts w:ascii="宋体" w:hAnsi="宋体" w:cs="宋体"/>
          <w:szCs w:val="21"/>
          <w:highlight w:val="none"/>
        </w:rPr>
      </w:pPr>
      <w:r>
        <w:rPr>
          <w:rFonts w:hint="eastAsia" w:ascii="宋体" w:hAnsi="宋体" w:cs="宋体"/>
          <w:szCs w:val="21"/>
          <w:highlight w:val="none"/>
        </w:rPr>
        <w:t>16）《结构用高强度铸钢规范（80-50级）》（ASTM  A148）；</w:t>
      </w:r>
    </w:p>
    <w:p w14:paraId="3B1696F9">
      <w:pPr>
        <w:spacing w:line="480" w:lineRule="exact"/>
        <w:ind w:firstLine="420" w:firstLineChars="200"/>
        <w:rPr>
          <w:rFonts w:ascii="宋体" w:hAnsi="宋体" w:cs="宋体"/>
          <w:szCs w:val="21"/>
          <w:highlight w:val="none"/>
        </w:rPr>
      </w:pPr>
      <w:r>
        <w:rPr>
          <w:rFonts w:hint="eastAsia" w:ascii="宋体" w:hAnsi="宋体" w:cs="宋体"/>
          <w:szCs w:val="21"/>
          <w:highlight w:val="none"/>
        </w:rPr>
        <w:t>17）《低、中抗拉强度碳素结构钢板技术规范》（ASTM  A283）；</w:t>
      </w:r>
    </w:p>
    <w:p w14:paraId="5979CE54">
      <w:pPr>
        <w:spacing w:line="480" w:lineRule="exact"/>
        <w:ind w:firstLine="420" w:firstLineChars="200"/>
        <w:rPr>
          <w:rFonts w:ascii="宋体" w:hAnsi="宋体" w:cs="宋体"/>
          <w:szCs w:val="21"/>
          <w:highlight w:val="none"/>
        </w:rPr>
      </w:pPr>
      <w:r>
        <w:rPr>
          <w:rFonts w:hint="eastAsia" w:ascii="宋体" w:hAnsi="宋体" w:cs="宋体"/>
          <w:szCs w:val="21"/>
          <w:highlight w:val="none"/>
        </w:rPr>
        <w:t>18）《一般工业碳钢和合金锻件技术规范》（ASTM  A668）。</w:t>
      </w:r>
    </w:p>
    <w:p w14:paraId="3BFF36F9">
      <w:pPr>
        <w:spacing w:line="480" w:lineRule="exact"/>
        <w:ind w:firstLine="420" w:firstLineChars="200"/>
        <w:rPr>
          <w:rFonts w:ascii="宋体" w:hAnsi="宋体" w:cs="宋体"/>
          <w:szCs w:val="21"/>
          <w:highlight w:val="none"/>
        </w:rPr>
      </w:pPr>
      <w:r>
        <w:rPr>
          <w:rFonts w:hint="eastAsia" w:ascii="宋体" w:hAnsi="宋体" w:cs="宋体"/>
          <w:szCs w:val="21"/>
          <w:highlight w:val="none"/>
        </w:rPr>
        <w:t>以上标准如有新的版本，按新的版本执行。</w:t>
      </w:r>
    </w:p>
    <w:p w14:paraId="198DA538">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3.2  材料试验</w:t>
      </w:r>
    </w:p>
    <w:p w14:paraId="710691AF">
      <w:pPr>
        <w:spacing w:line="480" w:lineRule="exact"/>
        <w:ind w:firstLine="420" w:firstLineChars="200"/>
        <w:rPr>
          <w:rFonts w:ascii="宋体" w:hAnsi="宋体" w:cs="宋体"/>
          <w:szCs w:val="21"/>
          <w:highlight w:val="none"/>
        </w:rPr>
      </w:pPr>
      <w:r>
        <w:rPr>
          <w:rFonts w:hint="eastAsia" w:ascii="宋体" w:hAnsi="宋体" w:cs="宋体"/>
          <w:szCs w:val="21"/>
          <w:highlight w:val="none"/>
        </w:rPr>
        <w:t>（1）用于设备或部件上的所有材料均应经过试验，试验应遵守GB或ASTM规定的方法，并应提交合格的材料</w:t>
      </w:r>
      <w:r>
        <w:rPr>
          <w:rFonts w:hint="eastAsia" w:ascii="宋体" w:hAnsi="宋体" w:cs="宋体"/>
          <w:szCs w:val="21"/>
          <w:highlight w:val="none"/>
          <w:lang w:eastAsia="zh-CN"/>
        </w:rPr>
        <w:t>试验报告</w:t>
      </w:r>
      <w:r>
        <w:rPr>
          <w:rFonts w:hint="eastAsia" w:ascii="宋体" w:hAnsi="宋体" w:cs="宋体"/>
          <w:szCs w:val="21"/>
          <w:highlight w:val="none"/>
        </w:rPr>
        <w:t>。</w:t>
      </w:r>
    </w:p>
    <w:p w14:paraId="3937C167">
      <w:pPr>
        <w:spacing w:line="480" w:lineRule="exact"/>
        <w:ind w:firstLine="420" w:firstLineChars="200"/>
        <w:rPr>
          <w:rFonts w:ascii="宋体" w:hAnsi="宋体" w:cs="宋体"/>
          <w:szCs w:val="21"/>
          <w:highlight w:val="none"/>
        </w:rPr>
      </w:pPr>
      <w:r>
        <w:rPr>
          <w:rFonts w:hint="eastAsia" w:ascii="宋体" w:hAnsi="宋体" w:cs="宋体"/>
          <w:szCs w:val="21"/>
          <w:highlight w:val="none"/>
        </w:rPr>
        <w:t>（2）所有主要部件用的材料应做冲击韧性试验，试验应遵守GB 或ASTM的要求。热轧钢板应同时做纵向和横向冲击试验。主要铸件和锻件的样品上做弯曲试验以及延伸率试验。</w:t>
      </w:r>
    </w:p>
    <w:p w14:paraId="71D99F9C">
      <w:pPr>
        <w:spacing w:line="480" w:lineRule="exact"/>
        <w:ind w:firstLine="420" w:firstLineChars="200"/>
        <w:rPr>
          <w:rFonts w:ascii="宋体" w:hAnsi="宋体" w:cs="宋体"/>
          <w:szCs w:val="21"/>
          <w:highlight w:val="none"/>
        </w:rPr>
      </w:pPr>
      <w:r>
        <w:rPr>
          <w:rFonts w:hint="eastAsia" w:ascii="宋体" w:hAnsi="宋体" w:cs="宋体"/>
          <w:szCs w:val="21"/>
          <w:highlight w:val="none"/>
        </w:rPr>
        <w:t>承包人提供符合GB或ASTM规定的证明，对主要部件所用板材可免做冲击试验，由此减少的价格在</w:t>
      </w:r>
      <w:r>
        <w:rPr>
          <w:rFonts w:hint="eastAsia" w:ascii="宋体" w:hAnsi="宋体" w:cs="宋体"/>
          <w:szCs w:val="21"/>
          <w:highlight w:val="none"/>
          <w:lang w:eastAsia="zh-CN"/>
        </w:rPr>
        <w:t>参选</w:t>
      </w:r>
      <w:r>
        <w:rPr>
          <w:rFonts w:hint="eastAsia" w:ascii="宋体" w:hAnsi="宋体" w:cs="宋体"/>
          <w:szCs w:val="21"/>
          <w:highlight w:val="none"/>
        </w:rPr>
        <w:t>书中予以说明。</w:t>
      </w:r>
    </w:p>
    <w:p w14:paraId="7C2C0B80">
      <w:pPr>
        <w:spacing w:line="480" w:lineRule="exact"/>
        <w:ind w:firstLine="420" w:firstLineChars="200"/>
        <w:rPr>
          <w:rFonts w:ascii="宋体" w:hAnsi="宋体" w:cs="宋体"/>
          <w:szCs w:val="21"/>
          <w:highlight w:val="none"/>
        </w:rPr>
      </w:pPr>
      <w:r>
        <w:rPr>
          <w:rFonts w:hint="eastAsia" w:ascii="宋体" w:hAnsi="宋体" w:cs="宋体"/>
          <w:szCs w:val="21"/>
          <w:highlight w:val="none"/>
        </w:rPr>
        <w:t>试验完成后，应提供合格的材料试验报告。试验合格证应标记在所用材料的部件上。</w:t>
      </w:r>
    </w:p>
    <w:p w14:paraId="6323AB3E">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3.3  焊接</w:t>
      </w:r>
    </w:p>
    <w:p w14:paraId="474B0297">
      <w:pPr>
        <w:spacing w:line="480" w:lineRule="exact"/>
        <w:ind w:firstLine="420" w:firstLineChars="200"/>
        <w:rPr>
          <w:rFonts w:ascii="宋体" w:hAnsi="宋体" w:cs="宋体"/>
          <w:szCs w:val="21"/>
          <w:highlight w:val="none"/>
        </w:rPr>
      </w:pPr>
      <w:r>
        <w:rPr>
          <w:rFonts w:hint="eastAsia" w:ascii="宋体" w:hAnsi="宋体" w:cs="宋体"/>
          <w:szCs w:val="21"/>
          <w:highlight w:val="none"/>
        </w:rPr>
        <w:t>（1）焊接工作应尽量采用自动焊或半自动电弧焊。对于需要消除内应力的机械加工件，应在消除内应力后再进行精加工。在制造厂焊接的主要零件，不允许采用局部消除内应力的方法。</w:t>
      </w:r>
    </w:p>
    <w:p w14:paraId="599D9C16">
      <w:pPr>
        <w:spacing w:line="480" w:lineRule="exact"/>
        <w:ind w:firstLine="480"/>
        <w:rPr>
          <w:rFonts w:ascii="宋体" w:hAnsi="宋体" w:cs="宋体"/>
          <w:szCs w:val="21"/>
          <w:highlight w:val="none"/>
        </w:rPr>
      </w:pPr>
      <w:r>
        <w:rPr>
          <w:rFonts w:hint="eastAsia" w:ascii="宋体" w:hAnsi="宋体" w:cs="宋体"/>
          <w:szCs w:val="21"/>
          <w:highlight w:val="none"/>
        </w:rPr>
        <w:t>焊接件接缝坡口应设计合理，坡口表面应平整，无缺陷、油污及其他杂物。</w:t>
      </w:r>
    </w:p>
    <w:p w14:paraId="59E71537">
      <w:pPr>
        <w:spacing w:line="480" w:lineRule="exact"/>
        <w:ind w:firstLine="420" w:firstLineChars="200"/>
        <w:rPr>
          <w:rFonts w:ascii="宋体" w:hAnsi="宋体" w:cs="宋体"/>
          <w:szCs w:val="21"/>
          <w:highlight w:val="none"/>
        </w:rPr>
      </w:pPr>
      <w:r>
        <w:rPr>
          <w:rFonts w:hint="eastAsia" w:ascii="宋体" w:hAnsi="宋体" w:cs="宋体"/>
          <w:szCs w:val="21"/>
          <w:highlight w:val="none"/>
        </w:rPr>
        <w:t>（2）焊接压力容器部件的焊接方法、工艺及焊接工应符合国家标准中的有关规定，焊工必须通过考试取得合格证。</w:t>
      </w:r>
    </w:p>
    <w:p w14:paraId="3879759F">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3.4  无损检测</w:t>
      </w:r>
    </w:p>
    <w:p w14:paraId="672EF0D8">
      <w:pPr>
        <w:spacing w:line="480" w:lineRule="exact"/>
        <w:ind w:firstLine="420" w:firstLineChars="200"/>
        <w:rPr>
          <w:rFonts w:ascii="宋体" w:hAnsi="宋体" w:cs="宋体"/>
          <w:szCs w:val="21"/>
          <w:highlight w:val="none"/>
        </w:rPr>
      </w:pPr>
      <w:r>
        <w:rPr>
          <w:rFonts w:hint="eastAsia" w:ascii="宋体" w:hAnsi="宋体" w:cs="宋体"/>
          <w:szCs w:val="21"/>
          <w:highlight w:val="none"/>
        </w:rPr>
        <w:t>（1）无损检测应按国家标准有关规定进行。</w:t>
      </w:r>
    </w:p>
    <w:p w14:paraId="1C0CA122">
      <w:pPr>
        <w:spacing w:line="480" w:lineRule="exact"/>
        <w:ind w:firstLine="420" w:firstLineChars="200"/>
        <w:rPr>
          <w:rFonts w:ascii="宋体" w:hAnsi="宋体" w:cs="宋体"/>
          <w:szCs w:val="21"/>
          <w:highlight w:val="none"/>
        </w:rPr>
      </w:pPr>
      <w:r>
        <w:rPr>
          <w:rFonts w:hint="eastAsia" w:ascii="宋体" w:hAnsi="宋体" w:cs="宋体"/>
          <w:szCs w:val="21"/>
          <w:highlight w:val="none"/>
        </w:rPr>
        <w:t>（2）无损检测方法主要采用磁粉法、染色法和超声波探伤。射线探伤用于高应力部件或某些关键部件的探伤。</w:t>
      </w:r>
      <w:r>
        <w:rPr>
          <w:rFonts w:hint="eastAsia" w:ascii="宋体" w:hAnsi="宋体" w:cs="宋体"/>
          <w:szCs w:val="21"/>
          <w:highlight w:val="none"/>
          <w:lang w:eastAsia="zh-CN"/>
        </w:rPr>
        <w:t>如其他</w:t>
      </w:r>
      <w:r>
        <w:rPr>
          <w:rFonts w:hint="eastAsia" w:ascii="宋体" w:hAnsi="宋体" w:cs="宋体"/>
          <w:szCs w:val="21"/>
          <w:highlight w:val="none"/>
        </w:rPr>
        <w:t>方法检查，解释不清或有疑问时，也可采用射线探伤法。</w:t>
      </w:r>
    </w:p>
    <w:p w14:paraId="68AD000E">
      <w:pPr>
        <w:spacing w:line="480" w:lineRule="exact"/>
        <w:ind w:firstLine="420" w:firstLineChars="200"/>
        <w:rPr>
          <w:rFonts w:ascii="宋体" w:hAnsi="宋体" w:cs="宋体"/>
          <w:szCs w:val="21"/>
          <w:highlight w:val="none"/>
        </w:rPr>
      </w:pPr>
      <w:r>
        <w:rPr>
          <w:rFonts w:hint="eastAsia" w:ascii="宋体" w:hAnsi="宋体" w:cs="宋体"/>
          <w:szCs w:val="21"/>
          <w:highlight w:val="none"/>
        </w:rPr>
        <w:t>承包人应将无损检测的详细工艺提交监理工程师审查。</w:t>
      </w:r>
    </w:p>
    <w:p w14:paraId="714D60C7">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3.5  钢铸件</w:t>
      </w:r>
    </w:p>
    <w:p w14:paraId="5C1567AB">
      <w:pPr>
        <w:spacing w:line="480" w:lineRule="exact"/>
        <w:ind w:firstLine="420" w:firstLineChars="200"/>
        <w:rPr>
          <w:rFonts w:ascii="宋体" w:hAnsi="宋体" w:cs="宋体"/>
          <w:szCs w:val="21"/>
          <w:highlight w:val="none"/>
        </w:rPr>
      </w:pPr>
      <w:r>
        <w:rPr>
          <w:rFonts w:hint="eastAsia" w:ascii="宋体" w:hAnsi="宋体" w:cs="宋体"/>
          <w:szCs w:val="21"/>
          <w:highlight w:val="none"/>
        </w:rPr>
        <w:t>（1）钢铸件的质量应符合有关国家标准。</w:t>
      </w:r>
    </w:p>
    <w:p w14:paraId="70D44D92">
      <w:pPr>
        <w:spacing w:line="480" w:lineRule="exact"/>
        <w:ind w:firstLine="420" w:firstLineChars="200"/>
        <w:rPr>
          <w:rFonts w:ascii="宋体" w:hAnsi="宋体" w:cs="宋体"/>
          <w:szCs w:val="21"/>
          <w:highlight w:val="none"/>
        </w:rPr>
      </w:pPr>
      <w:r>
        <w:rPr>
          <w:rFonts w:hint="eastAsia" w:ascii="宋体" w:hAnsi="宋体" w:cs="宋体"/>
          <w:szCs w:val="21"/>
          <w:highlight w:val="none"/>
        </w:rPr>
        <w:t>（2）应根据规范要求对铸件进行无损检测，如发现重大缺陷、发包人将要求进行X射线检查，所需费用由承包人支付。</w:t>
      </w:r>
    </w:p>
    <w:p w14:paraId="61DEE592">
      <w:pPr>
        <w:spacing w:line="480" w:lineRule="exact"/>
        <w:ind w:firstLine="420" w:firstLineChars="200"/>
        <w:rPr>
          <w:rFonts w:ascii="宋体" w:hAnsi="宋体" w:cs="宋体"/>
          <w:szCs w:val="21"/>
          <w:highlight w:val="none"/>
        </w:rPr>
      </w:pPr>
      <w:r>
        <w:rPr>
          <w:rFonts w:hint="eastAsia" w:ascii="宋体" w:hAnsi="宋体" w:cs="宋体"/>
          <w:szCs w:val="21"/>
          <w:highlight w:val="none"/>
        </w:rPr>
        <w:t>承包人应将铸件次要缺陷的修补情况的书面报告提交监理工程师备案。对于铸件主要缺陷的处理，应由承包人提出详细的处理方案，交监理人审查后再进行修复。修复要求与图纸尺寸相符，必要时应重新进行热处理。</w:t>
      </w:r>
    </w:p>
    <w:p w14:paraId="65380490">
      <w:pPr>
        <w:spacing w:line="480" w:lineRule="exact"/>
        <w:ind w:firstLine="420" w:firstLineChars="200"/>
        <w:rPr>
          <w:rFonts w:ascii="宋体" w:hAnsi="宋体" w:cs="宋体"/>
          <w:szCs w:val="21"/>
          <w:highlight w:val="none"/>
        </w:rPr>
      </w:pPr>
      <w:r>
        <w:rPr>
          <w:rFonts w:hint="eastAsia" w:ascii="宋体" w:hAnsi="宋体" w:cs="宋体"/>
          <w:szCs w:val="21"/>
          <w:highlight w:val="none"/>
        </w:rPr>
        <w:t>铸件次要缺陷系指气孔、砂眼、冷隔、多肉、皱纹、表面疏松等的深度不超过缺陷本体厚度的20%，最大孔深不超过25mm，且需补焊的面积每平方米小于10cm</w:t>
      </w:r>
      <w:r>
        <w:rPr>
          <w:rFonts w:hint="eastAsia" w:ascii="宋体" w:hAnsi="宋体" w:cs="宋体"/>
          <w:szCs w:val="21"/>
          <w:highlight w:val="none"/>
          <w:vertAlign w:val="superscript"/>
        </w:rPr>
        <w:t>2</w:t>
      </w:r>
      <w:r>
        <w:rPr>
          <w:rFonts w:hint="eastAsia" w:ascii="宋体" w:hAnsi="宋体" w:cs="宋体"/>
          <w:szCs w:val="21"/>
          <w:highlight w:val="none"/>
        </w:rPr>
        <w:t>的缺陷。超过次要缺陷的界限或若干次要缺陷累积在一起时，则应认为是主要缺陷。当去除缺陷后，铸件承受应力的横断面减少超过30%，或者剩下部分金属中的计算应力超过允许应力的30%，则铸件报废。</w:t>
      </w:r>
    </w:p>
    <w:p w14:paraId="06EA0A26">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3.6  设备颜色</w:t>
      </w:r>
    </w:p>
    <w:p w14:paraId="7246D904">
      <w:pPr>
        <w:spacing w:line="480" w:lineRule="exact"/>
        <w:ind w:firstLine="420" w:firstLineChars="200"/>
        <w:rPr>
          <w:rFonts w:ascii="宋体" w:hAnsi="宋体" w:cs="宋体"/>
          <w:szCs w:val="21"/>
          <w:highlight w:val="none"/>
        </w:rPr>
      </w:pPr>
      <w:r>
        <w:rPr>
          <w:rFonts w:hint="eastAsia" w:ascii="宋体" w:hAnsi="宋体" w:cs="宋体"/>
          <w:szCs w:val="21"/>
          <w:highlight w:val="none"/>
        </w:rPr>
        <w:t>设备、部件和管道涂漆色应符合合同要求或水利部的标准，在合同签订后，由合同双方最后确定每个项目的用色。</w:t>
      </w:r>
      <w:bookmarkStart w:id="530" w:name="_Toc142106126"/>
      <w:bookmarkStart w:id="531" w:name="_Toc199670921"/>
      <w:bookmarkStart w:id="532" w:name="_Toc137526104"/>
      <w:bookmarkStart w:id="533" w:name="_Toc15391377"/>
      <w:bookmarkStart w:id="534" w:name="_Toc37653945"/>
    </w:p>
    <w:p w14:paraId="78469CE4">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3.7  防护、清扫及保护涂层</w:t>
      </w:r>
      <w:bookmarkEnd w:id="530"/>
      <w:bookmarkEnd w:id="531"/>
      <w:bookmarkEnd w:id="532"/>
      <w:bookmarkEnd w:id="533"/>
      <w:bookmarkEnd w:id="534"/>
    </w:p>
    <w:p w14:paraId="14AC3F2C">
      <w:pPr>
        <w:spacing w:line="480" w:lineRule="exact"/>
        <w:ind w:firstLine="420" w:firstLineChars="200"/>
        <w:rPr>
          <w:rFonts w:ascii="宋体" w:hAnsi="宋体" w:cs="宋体"/>
          <w:szCs w:val="21"/>
          <w:highlight w:val="none"/>
        </w:rPr>
      </w:pPr>
      <w:r>
        <w:rPr>
          <w:rFonts w:hint="eastAsia" w:ascii="宋体" w:hAnsi="宋体" w:cs="宋体"/>
          <w:szCs w:val="21"/>
          <w:highlight w:val="none"/>
        </w:rPr>
        <w:t>所有设备部件出厂前应由承包人清扫干净，并根据设备部件的特点分别采取防护措施。设备、部件和管道涂漆颜色应符合合同要求。涂底漆前的表面处理应符合相应的涂料工艺要求。承包人可提出自己的涂漆规范供发包人批准。</w:t>
      </w:r>
    </w:p>
    <w:p w14:paraId="4DB8C17F">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3.8  管路</w:t>
      </w:r>
    </w:p>
    <w:p w14:paraId="26AEC7B2">
      <w:pPr>
        <w:spacing w:line="480" w:lineRule="exact"/>
        <w:ind w:firstLine="420" w:firstLineChars="200"/>
        <w:rPr>
          <w:rFonts w:ascii="宋体" w:hAnsi="宋体" w:cs="宋体"/>
          <w:szCs w:val="21"/>
          <w:highlight w:val="none"/>
        </w:rPr>
      </w:pPr>
      <w:r>
        <w:rPr>
          <w:rFonts w:hint="eastAsia" w:ascii="宋体" w:hAnsi="宋体" w:cs="宋体"/>
          <w:szCs w:val="21"/>
          <w:highlight w:val="none"/>
        </w:rPr>
        <w:t>管路系统设计材料、安装、试验应符合水利部《电力建设施工及验收技术规范》中的有关规定。</w:t>
      </w:r>
    </w:p>
    <w:p w14:paraId="4FDF32F5">
      <w:pPr>
        <w:spacing w:line="480" w:lineRule="exact"/>
        <w:ind w:firstLine="420" w:firstLineChars="200"/>
        <w:rPr>
          <w:rFonts w:ascii="宋体" w:hAnsi="宋体" w:cs="宋体"/>
          <w:szCs w:val="21"/>
          <w:highlight w:val="none"/>
        </w:rPr>
      </w:pPr>
      <w:r>
        <w:rPr>
          <w:rFonts w:hint="eastAsia" w:ascii="宋体" w:hAnsi="宋体" w:cs="宋体"/>
          <w:szCs w:val="21"/>
          <w:highlight w:val="none"/>
        </w:rPr>
        <w:t>管路连接所用的法兰、螺栓、螺帽、衬垫、垫圈、支架等均由承包人提供，所有衬垫和填料应遵照通常使用的标准采用适合的材料。</w:t>
      </w:r>
    </w:p>
    <w:p w14:paraId="41C39489">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3.9  基础埋设材料</w:t>
      </w:r>
    </w:p>
    <w:p w14:paraId="77F016E3">
      <w:pPr>
        <w:spacing w:line="480" w:lineRule="exact"/>
        <w:ind w:firstLine="420" w:firstLineChars="200"/>
        <w:rPr>
          <w:rFonts w:ascii="宋体" w:hAnsi="宋体" w:cs="宋体"/>
          <w:szCs w:val="21"/>
          <w:highlight w:val="none"/>
        </w:rPr>
      </w:pPr>
      <w:r>
        <w:rPr>
          <w:rFonts w:hint="eastAsia" w:ascii="宋体" w:hAnsi="宋体" w:cs="宋体"/>
          <w:szCs w:val="21"/>
          <w:highlight w:val="none"/>
        </w:rPr>
        <w:t>承包人应随设备供应安装设备所必需的基础埋设材料，如基础螺栓、可调基础板及垫板等和</w:t>
      </w:r>
      <w:r>
        <w:rPr>
          <w:rFonts w:hint="eastAsia" w:ascii="宋体" w:hAnsi="宋体" w:cs="宋体"/>
          <w:szCs w:val="21"/>
          <w:highlight w:val="none"/>
          <w:lang w:eastAsia="zh-CN"/>
        </w:rPr>
        <w:t>其他</w:t>
      </w:r>
      <w:r>
        <w:rPr>
          <w:rFonts w:hint="eastAsia" w:ascii="宋体" w:hAnsi="宋体" w:cs="宋体"/>
          <w:szCs w:val="21"/>
          <w:highlight w:val="none"/>
        </w:rPr>
        <w:t>的浇筑混凝土时需拉紧、支撑和固定设备的基础材料。</w:t>
      </w:r>
    </w:p>
    <w:p w14:paraId="6F59BD0C">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3.10  吊装附件</w:t>
      </w:r>
    </w:p>
    <w:p w14:paraId="1449EDA7">
      <w:pPr>
        <w:spacing w:line="480" w:lineRule="exact"/>
        <w:ind w:firstLine="420" w:firstLineChars="200"/>
        <w:rPr>
          <w:rFonts w:ascii="宋体" w:hAnsi="宋体" w:cs="宋体"/>
          <w:szCs w:val="21"/>
          <w:highlight w:val="none"/>
        </w:rPr>
      </w:pPr>
      <w:r>
        <w:rPr>
          <w:rFonts w:hint="eastAsia" w:ascii="宋体" w:hAnsi="宋体" w:cs="宋体"/>
          <w:szCs w:val="21"/>
          <w:highlight w:val="none"/>
        </w:rPr>
        <w:t>在设备主要部件上，均应设供吊装用的吊耳、吊环等，在安装和组装过程中，用厂房起重机吊钩吊装设备时，所有部件和组装件挂装的吊具均由承包人供给。</w:t>
      </w:r>
    </w:p>
    <w:p w14:paraId="3CCA692F">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3.11  铭牌</w:t>
      </w:r>
    </w:p>
    <w:p w14:paraId="52108871">
      <w:pPr>
        <w:spacing w:line="480" w:lineRule="exact"/>
        <w:ind w:firstLine="420" w:firstLineChars="200"/>
        <w:rPr>
          <w:rFonts w:ascii="宋体" w:hAnsi="宋体" w:cs="宋体"/>
          <w:szCs w:val="21"/>
          <w:highlight w:val="none"/>
        </w:rPr>
      </w:pPr>
      <w:r>
        <w:rPr>
          <w:rFonts w:hint="eastAsia" w:ascii="宋体" w:hAnsi="宋体" w:cs="宋体"/>
          <w:szCs w:val="21"/>
          <w:highlight w:val="none"/>
        </w:rPr>
        <w:t>每台主要设备及辅助设备均应有永久性铭牌，铭牌上应标有制造厂名称、地址、设备出厂日期、编号、型号、额定压力、运行速度等重要数据。</w:t>
      </w:r>
    </w:p>
    <w:p w14:paraId="361BDFE9">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3.12  工厂装配与试验证明</w:t>
      </w:r>
    </w:p>
    <w:p w14:paraId="608B8135">
      <w:pPr>
        <w:spacing w:line="480" w:lineRule="exact"/>
        <w:ind w:firstLine="420" w:firstLineChars="200"/>
        <w:rPr>
          <w:rFonts w:ascii="宋体" w:hAnsi="宋体" w:cs="宋体"/>
          <w:szCs w:val="21"/>
          <w:highlight w:val="none"/>
        </w:rPr>
      </w:pPr>
      <w:r>
        <w:rPr>
          <w:rFonts w:hint="eastAsia" w:ascii="宋体" w:hAnsi="宋体" w:cs="宋体"/>
          <w:szCs w:val="21"/>
          <w:highlight w:val="none"/>
        </w:rPr>
        <w:t>按规定在承包人工厂车间进行组装的各种设备，除制造厂规定的计划外，应按发包人要求进行一些必要的试验。所有试验项目应尽量模拟正常使用条件。对所有拆卸的部件应做出适当的配合标记和设定位销。</w:t>
      </w:r>
    </w:p>
    <w:p w14:paraId="7BA0F206">
      <w:pPr>
        <w:spacing w:line="480" w:lineRule="exact"/>
        <w:ind w:firstLine="420" w:firstLineChars="200"/>
        <w:rPr>
          <w:rFonts w:ascii="宋体" w:hAnsi="宋体" w:cs="宋体"/>
          <w:szCs w:val="21"/>
          <w:highlight w:val="none"/>
        </w:rPr>
      </w:pPr>
      <w:r>
        <w:rPr>
          <w:rFonts w:hint="eastAsia" w:ascii="宋体" w:hAnsi="宋体" w:cs="宋体"/>
          <w:szCs w:val="21"/>
          <w:highlight w:val="none"/>
        </w:rPr>
        <w:t>凡在工厂进行的各种设备的检验和试验，应向发包人提供工厂检验记录抄件，并经发包人审查认可后，设备才能发运。</w:t>
      </w:r>
    </w:p>
    <w:p w14:paraId="6C297930">
      <w:pPr>
        <w:spacing w:line="480" w:lineRule="exact"/>
        <w:ind w:firstLine="420" w:firstLineChars="200"/>
        <w:rPr>
          <w:rFonts w:ascii="宋体" w:hAnsi="宋体" w:cs="宋体"/>
          <w:szCs w:val="21"/>
          <w:highlight w:val="none"/>
        </w:rPr>
      </w:pPr>
      <w:r>
        <w:rPr>
          <w:rFonts w:hint="eastAsia" w:ascii="宋体" w:hAnsi="宋体" w:cs="宋体"/>
          <w:szCs w:val="21"/>
          <w:highlight w:val="none"/>
        </w:rPr>
        <w:t>应事先向发包人提交在工厂车间装配的设备和试验项目、工艺及检验大纲和时间安排。</w:t>
      </w:r>
    </w:p>
    <w:p w14:paraId="417B56F0">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1.3.13</w:t>
      </w:r>
      <w:r>
        <w:rPr>
          <w:rFonts w:hint="eastAsia" w:ascii="宋体" w:hAnsi="宋体" w:cs="宋体"/>
          <w:szCs w:val="21"/>
          <w:highlight w:val="none"/>
        </w:rPr>
        <w:t xml:space="preserve"> 检验及验收</w:t>
      </w:r>
    </w:p>
    <w:p w14:paraId="2AF7440F">
      <w:pPr>
        <w:spacing w:line="480" w:lineRule="exact"/>
        <w:ind w:firstLine="420" w:firstLineChars="200"/>
        <w:rPr>
          <w:rFonts w:ascii="宋体" w:hAnsi="宋体" w:cs="宋体"/>
          <w:szCs w:val="21"/>
          <w:highlight w:val="none"/>
        </w:rPr>
      </w:pPr>
      <w:r>
        <w:rPr>
          <w:rFonts w:hint="eastAsia" w:ascii="宋体" w:hAnsi="宋体" w:cs="宋体"/>
          <w:szCs w:val="21"/>
          <w:highlight w:val="none"/>
        </w:rPr>
        <w:t>设备在工厂制造期间的检查和试验应按国家有关规定及本合同要求组织生产和试验。</w:t>
      </w:r>
      <w:bookmarkStart w:id="535" w:name="_Toc137526095"/>
      <w:bookmarkStart w:id="536" w:name="_Toc199670912"/>
      <w:bookmarkStart w:id="537" w:name="_Toc142106117"/>
    </w:p>
    <w:p w14:paraId="5B53BA9E">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1.3.14</w:t>
      </w:r>
      <w:r>
        <w:rPr>
          <w:rFonts w:hint="eastAsia" w:ascii="宋体" w:hAnsi="宋体" w:cs="宋体"/>
          <w:szCs w:val="21"/>
          <w:highlight w:val="none"/>
        </w:rPr>
        <w:t xml:space="preserve">  接口与协调</w:t>
      </w:r>
      <w:bookmarkEnd w:id="535"/>
      <w:bookmarkEnd w:id="536"/>
      <w:bookmarkEnd w:id="537"/>
    </w:p>
    <w:p w14:paraId="3B93799B">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1.3.14.1</w:t>
      </w:r>
      <w:r>
        <w:rPr>
          <w:rFonts w:hint="eastAsia" w:ascii="宋体" w:hAnsi="宋体" w:cs="宋体"/>
          <w:szCs w:val="21"/>
          <w:highlight w:val="none"/>
        </w:rPr>
        <w:t xml:space="preserve"> 概述</w:t>
      </w:r>
    </w:p>
    <w:p w14:paraId="08D9C68E">
      <w:pPr>
        <w:spacing w:line="480" w:lineRule="exact"/>
        <w:ind w:firstLine="420" w:firstLineChars="200"/>
        <w:rPr>
          <w:rFonts w:ascii="宋体" w:hAnsi="宋体" w:cs="宋体"/>
          <w:szCs w:val="21"/>
          <w:highlight w:val="none"/>
        </w:rPr>
      </w:pPr>
      <w:r>
        <w:rPr>
          <w:rFonts w:hint="eastAsia" w:ascii="宋体" w:hAnsi="宋体" w:cs="宋体"/>
          <w:szCs w:val="21"/>
          <w:highlight w:val="none"/>
        </w:rPr>
        <w:t>承包人应参加与</w:t>
      </w:r>
      <w:r>
        <w:rPr>
          <w:rFonts w:hint="eastAsia" w:ascii="宋体" w:hAnsi="宋体" w:cs="宋体"/>
          <w:szCs w:val="21"/>
          <w:highlight w:val="none"/>
          <w:lang w:eastAsia="zh-CN"/>
        </w:rPr>
        <w:t>其他设备</w:t>
      </w:r>
      <w:r>
        <w:rPr>
          <w:rFonts w:hint="eastAsia" w:ascii="宋体" w:hAnsi="宋体" w:cs="宋体"/>
          <w:szCs w:val="21"/>
          <w:highlight w:val="none"/>
        </w:rPr>
        <w:t>分包商（包括安装分包商）就其提供的设备的结构、型式、性能、参数及必要的资料进行的协调，以保证正确地完成阀门或部件的设计、制造、吊运、安装、调试与现场试验等工作。</w:t>
      </w:r>
    </w:p>
    <w:p w14:paraId="761D033B">
      <w:pPr>
        <w:spacing w:line="480" w:lineRule="exact"/>
        <w:ind w:firstLine="420" w:firstLineChars="200"/>
        <w:rPr>
          <w:rFonts w:ascii="宋体" w:hAnsi="宋体" w:cs="宋体"/>
          <w:szCs w:val="21"/>
          <w:highlight w:val="none"/>
        </w:rPr>
      </w:pPr>
      <w:r>
        <w:rPr>
          <w:rFonts w:hint="eastAsia" w:ascii="宋体" w:hAnsi="宋体" w:cs="宋体"/>
          <w:szCs w:val="21"/>
          <w:highlight w:val="none"/>
        </w:rPr>
        <w:t>若承包人对其他分包商的设计、技术规范或设备接口有疑问时，应主动向发包人作书面报告，并由发包人安排进行协调和处理。</w:t>
      </w:r>
    </w:p>
    <w:p w14:paraId="64BFF147">
      <w:pPr>
        <w:spacing w:line="480" w:lineRule="exact"/>
        <w:ind w:firstLine="420" w:firstLineChars="200"/>
        <w:rPr>
          <w:rFonts w:ascii="宋体" w:hAnsi="宋体" w:cs="宋体"/>
          <w:szCs w:val="21"/>
          <w:highlight w:val="none"/>
        </w:rPr>
      </w:pPr>
      <w:r>
        <w:rPr>
          <w:rFonts w:hint="eastAsia" w:ascii="宋体" w:hAnsi="宋体" w:cs="宋体"/>
          <w:szCs w:val="21"/>
          <w:highlight w:val="none"/>
        </w:rPr>
        <w:t>承包人的设计责任：承包人应对其供货的全部设备、部件进行相应的设计协调和完善，并承担相应责任。保证所供应的设备整体性能良好，符合主合同及本规范的技术要求。</w:t>
      </w:r>
    </w:p>
    <w:p w14:paraId="7ADBCA61">
      <w:pPr>
        <w:spacing w:line="480" w:lineRule="exact"/>
        <w:ind w:firstLine="420" w:firstLineChars="200"/>
        <w:rPr>
          <w:rFonts w:ascii="宋体" w:hAnsi="宋体" w:cs="宋体"/>
          <w:szCs w:val="21"/>
          <w:highlight w:val="none"/>
        </w:rPr>
      </w:pPr>
      <w:r>
        <w:rPr>
          <w:rFonts w:hint="eastAsia" w:ascii="宋体" w:hAnsi="宋体" w:cs="宋体"/>
          <w:szCs w:val="21"/>
          <w:highlight w:val="none"/>
        </w:rPr>
        <w:t>承包人与发包人其他分/承包商的协调：承包人应参加发包人组织的与其他分/承包商之间的技术协调，并向发包人提交接口配合图纸和资料，以确保与其他系统接口的正确衔接。</w:t>
      </w:r>
    </w:p>
    <w:p w14:paraId="35CF7889">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1.3.14.2</w:t>
      </w:r>
      <w:r>
        <w:rPr>
          <w:rFonts w:hint="eastAsia" w:ascii="宋体" w:hAnsi="宋体" w:cs="宋体"/>
          <w:szCs w:val="21"/>
          <w:highlight w:val="none"/>
        </w:rPr>
        <w:t xml:space="preserve">  承包人参加与安装分包商协调</w:t>
      </w:r>
    </w:p>
    <w:p w14:paraId="79963FC7">
      <w:pPr>
        <w:spacing w:line="480" w:lineRule="exact"/>
        <w:ind w:firstLine="420" w:firstLineChars="200"/>
        <w:rPr>
          <w:rFonts w:ascii="宋体" w:hAnsi="宋体" w:cs="宋体"/>
          <w:szCs w:val="21"/>
          <w:highlight w:val="none"/>
        </w:rPr>
      </w:pPr>
      <w:r>
        <w:rPr>
          <w:rFonts w:hint="eastAsia" w:ascii="宋体" w:hAnsi="宋体" w:cs="宋体"/>
          <w:szCs w:val="21"/>
          <w:highlight w:val="none"/>
        </w:rPr>
        <w:t>承包人在合同设备安装现场与合同设备的安装承包商在设备安装质量、安装方法、设备缺陷处理、现场试验等方面应进行积极的技术交流，当发生分歧时，应由发包人进行协调，以确保合同设备按期完成安装调试，并符合规定的质量要求。</w:t>
      </w:r>
    </w:p>
    <w:p w14:paraId="48BD3366">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1.3.14.3</w:t>
      </w:r>
      <w:r>
        <w:rPr>
          <w:rFonts w:hint="eastAsia" w:ascii="宋体" w:hAnsi="宋体" w:cs="宋体"/>
          <w:szCs w:val="21"/>
          <w:highlight w:val="none"/>
        </w:rPr>
        <w:t xml:space="preserve">  承包人参加与计算机监控系统、保护系统分包商的协调。根据设计协调及接口要求，向计算机监控系统分包商提供阀门自动化、用于监控的I/O量、模拟量、通信规约的详细资料。</w:t>
      </w:r>
    </w:p>
    <w:p w14:paraId="28904CB8">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1.3.14.4</w:t>
      </w:r>
      <w:r>
        <w:rPr>
          <w:rFonts w:hint="eastAsia" w:ascii="宋体" w:hAnsi="宋体" w:cs="宋体"/>
          <w:szCs w:val="21"/>
          <w:highlight w:val="none"/>
        </w:rPr>
        <w:t xml:space="preserve">  承包人应按本协议要求，向设计单位提供接口、配合资料。并参加有关问题的协调。</w:t>
      </w:r>
    </w:p>
    <w:p w14:paraId="2FC61E94">
      <w:pPr>
        <w:spacing w:line="480" w:lineRule="exact"/>
        <w:rPr>
          <w:rFonts w:ascii="宋体" w:hAnsi="宋体" w:cs="宋体"/>
          <w:b/>
          <w:bCs/>
          <w:sz w:val="24"/>
          <w:szCs w:val="24"/>
          <w:highlight w:val="none"/>
        </w:rPr>
      </w:pPr>
      <w:bookmarkStart w:id="538" w:name="_Toc104003073"/>
      <w:r>
        <w:rPr>
          <w:rFonts w:hint="eastAsia" w:ascii="宋体" w:hAnsi="宋体" w:cs="宋体"/>
          <w:b/>
          <w:bCs/>
          <w:sz w:val="24"/>
          <w:szCs w:val="24"/>
          <w:highlight w:val="none"/>
          <w:lang w:val="en-US" w:eastAsia="zh-CN"/>
        </w:rPr>
        <w:t>二、</w:t>
      </w:r>
      <w:r>
        <w:rPr>
          <w:rFonts w:hint="eastAsia" w:ascii="宋体" w:hAnsi="宋体" w:cs="宋体"/>
          <w:b/>
          <w:bCs/>
          <w:sz w:val="24"/>
          <w:szCs w:val="24"/>
          <w:highlight w:val="none"/>
        </w:rPr>
        <w:t xml:space="preserve"> 设备技术要求</w:t>
      </w:r>
    </w:p>
    <w:bookmarkEnd w:id="538"/>
    <w:p w14:paraId="1CE31220">
      <w:pPr>
        <w:spacing w:line="480" w:lineRule="exact"/>
        <w:ind w:firstLine="420" w:firstLineChars="200"/>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一</w:t>
      </w:r>
      <w:r>
        <w:rPr>
          <w:rFonts w:hint="eastAsia" w:ascii="宋体" w:hAnsi="宋体" w:cs="宋体"/>
          <w:szCs w:val="21"/>
          <w:highlight w:val="none"/>
          <w:lang w:eastAsia="zh-CN"/>
        </w:rPr>
        <w:t>）</w:t>
      </w:r>
      <w:r>
        <w:rPr>
          <w:rFonts w:hint="eastAsia" w:ascii="宋体" w:hAnsi="宋体" w:cs="宋体"/>
          <w:szCs w:val="21"/>
          <w:highlight w:val="none"/>
        </w:rPr>
        <w:t xml:space="preserve"> 蝶阀技术要求</w:t>
      </w:r>
    </w:p>
    <w:p w14:paraId="71BC0410">
      <w:pPr>
        <w:spacing w:line="480" w:lineRule="exact"/>
        <w:ind w:firstLine="420" w:firstLineChars="200"/>
        <w:rPr>
          <w:rFonts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1.1  概述</w:t>
      </w:r>
    </w:p>
    <w:p w14:paraId="627E2B95">
      <w:pPr>
        <w:spacing w:line="480" w:lineRule="exact"/>
        <w:ind w:firstLine="420" w:firstLineChars="200"/>
        <w:rPr>
          <w:rFonts w:ascii="宋体" w:hAnsi="宋体" w:cs="宋体"/>
          <w:szCs w:val="21"/>
          <w:highlight w:val="none"/>
        </w:rPr>
      </w:pPr>
      <w:r>
        <w:rPr>
          <w:rFonts w:hint="eastAsia" w:ascii="宋体" w:hAnsi="宋体" w:cs="宋体"/>
          <w:szCs w:val="21"/>
          <w:highlight w:val="none"/>
        </w:rPr>
        <w:t>本阀门安装在输水管道阀井内，无操作电源，采用移动式柴油发电机进行启闭。</w:t>
      </w:r>
    </w:p>
    <w:p w14:paraId="114FA859">
      <w:pPr>
        <w:spacing w:line="480" w:lineRule="exact"/>
        <w:ind w:firstLine="420" w:firstLineChars="200"/>
        <w:rPr>
          <w:rFonts w:ascii="宋体" w:hAnsi="宋体" w:cs="宋体"/>
          <w:szCs w:val="21"/>
          <w:highlight w:val="none"/>
        </w:rPr>
      </w:pPr>
      <w:r>
        <w:rPr>
          <w:rFonts w:hint="eastAsia" w:ascii="宋体" w:hAnsi="宋体" w:cs="宋体"/>
          <w:szCs w:val="21"/>
          <w:highlight w:val="none"/>
        </w:rPr>
        <w:t>2.1.2  执行国家标准、行业规范</w:t>
      </w:r>
    </w:p>
    <w:p w14:paraId="4780FFFC">
      <w:pPr>
        <w:spacing w:line="480" w:lineRule="exact"/>
        <w:ind w:firstLine="420" w:firstLineChars="200"/>
        <w:rPr>
          <w:rFonts w:ascii="宋体" w:hAnsi="宋体" w:cs="宋体"/>
          <w:szCs w:val="21"/>
          <w:highlight w:val="none"/>
        </w:rPr>
      </w:pPr>
      <w:r>
        <w:rPr>
          <w:rFonts w:hint="eastAsia" w:ascii="宋体" w:hAnsi="宋体" w:cs="宋体"/>
          <w:szCs w:val="21"/>
          <w:highlight w:val="none"/>
        </w:rPr>
        <w:t>承包人提供的产品，在满足下列标准要求的前提下，应满足或高于本</w:t>
      </w:r>
      <w:r>
        <w:rPr>
          <w:rFonts w:hint="eastAsia" w:ascii="宋体" w:hAnsi="宋体" w:cs="宋体"/>
          <w:szCs w:val="21"/>
          <w:highlight w:val="none"/>
          <w:lang w:eastAsia="zh-CN"/>
        </w:rPr>
        <w:t>招选</w:t>
      </w:r>
      <w:r>
        <w:rPr>
          <w:rFonts w:hint="eastAsia" w:ascii="宋体" w:hAnsi="宋体" w:cs="宋体"/>
          <w:szCs w:val="21"/>
          <w:highlight w:val="none"/>
        </w:rPr>
        <w:t>技术要求的规定。</w:t>
      </w:r>
    </w:p>
    <w:p w14:paraId="5AFF83C2">
      <w:pPr>
        <w:spacing w:line="480" w:lineRule="exact"/>
        <w:ind w:firstLine="420" w:firstLineChars="200"/>
        <w:rPr>
          <w:rFonts w:ascii="宋体" w:hAnsi="宋体" w:cs="宋体"/>
          <w:szCs w:val="21"/>
          <w:highlight w:val="none"/>
        </w:rPr>
      </w:pPr>
      <w:r>
        <w:rPr>
          <w:rFonts w:hint="eastAsia" w:ascii="宋体" w:hAnsi="宋体" w:cs="宋体"/>
          <w:szCs w:val="21"/>
          <w:highlight w:val="none"/>
        </w:rPr>
        <w:t>阀门的设计符合如下相关标准：</w:t>
      </w:r>
    </w:p>
    <w:p w14:paraId="5EDB03E2">
      <w:pPr>
        <w:spacing w:line="480" w:lineRule="exact"/>
        <w:ind w:firstLine="420" w:firstLineChars="200"/>
        <w:rPr>
          <w:rFonts w:ascii="宋体" w:hAnsi="宋体" w:cs="宋体"/>
          <w:szCs w:val="21"/>
          <w:highlight w:val="none"/>
        </w:rPr>
      </w:pPr>
      <w:r>
        <w:rPr>
          <w:rFonts w:hint="eastAsia" w:ascii="宋体" w:hAnsi="宋体" w:cs="宋体"/>
          <w:szCs w:val="21"/>
          <w:highlight w:val="none"/>
        </w:rPr>
        <w:t>（1）《给水排水用蝶阀》（CJ/T 261-2015）；</w:t>
      </w:r>
    </w:p>
    <w:p w14:paraId="2B01784C">
      <w:pPr>
        <w:spacing w:line="480" w:lineRule="exact"/>
        <w:ind w:firstLine="420" w:firstLineChars="200"/>
        <w:rPr>
          <w:rFonts w:ascii="宋体" w:hAnsi="宋体" w:cs="宋体"/>
          <w:szCs w:val="21"/>
          <w:highlight w:val="none"/>
        </w:rPr>
      </w:pPr>
      <w:r>
        <w:rPr>
          <w:rFonts w:hint="eastAsia" w:ascii="宋体" w:hAnsi="宋体" w:cs="宋体"/>
          <w:szCs w:val="21"/>
          <w:highlight w:val="none"/>
        </w:rPr>
        <w:t>（2）《法兰和对夹连接弹性密封蝶阀》（GB/T 12238-2008）；</w:t>
      </w:r>
    </w:p>
    <w:p w14:paraId="36A29478">
      <w:pPr>
        <w:spacing w:line="480" w:lineRule="exact"/>
        <w:ind w:firstLine="413" w:firstLineChars="197"/>
        <w:rPr>
          <w:rFonts w:ascii="宋体" w:hAnsi="宋体" w:cs="宋体"/>
          <w:szCs w:val="21"/>
          <w:highlight w:val="none"/>
        </w:rPr>
      </w:pPr>
      <w:r>
        <w:rPr>
          <w:rFonts w:hint="eastAsia" w:ascii="宋体" w:hAnsi="宋体" w:cs="宋体"/>
          <w:szCs w:val="21"/>
          <w:highlight w:val="none"/>
        </w:rPr>
        <w:t>（3）《管道元件 公称压力的定义和选用》（GB/T 1048-2019）；</w:t>
      </w:r>
    </w:p>
    <w:p w14:paraId="346CE46A">
      <w:pPr>
        <w:spacing w:line="480" w:lineRule="exact"/>
        <w:ind w:firstLine="420" w:firstLineChars="200"/>
        <w:rPr>
          <w:rFonts w:ascii="宋体" w:hAnsi="宋体" w:cs="宋体"/>
          <w:szCs w:val="21"/>
          <w:highlight w:val="none"/>
        </w:rPr>
      </w:pPr>
      <w:r>
        <w:rPr>
          <w:rFonts w:hint="eastAsia" w:ascii="宋体" w:hAnsi="宋体" w:cs="宋体"/>
          <w:szCs w:val="21"/>
          <w:highlight w:val="none"/>
        </w:rPr>
        <w:t>（4）《整体铸铁法兰》（GB/T 17241.6-2008）；</w:t>
      </w:r>
    </w:p>
    <w:p w14:paraId="7BAE9EF7">
      <w:pPr>
        <w:spacing w:line="480" w:lineRule="exact"/>
        <w:ind w:firstLine="420" w:firstLineChars="200"/>
        <w:rPr>
          <w:rFonts w:ascii="宋体" w:hAnsi="宋体" w:cs="宋体"/>
          <w:szCs w:val="21"/>
          <w:highlight w:val="none"/>
        </w:rPr>
      </w:pPr>
      <w:r>
        <w:rPr>
          <w:rFonts w:hint="eastAsia" w:ascii="宋体" w:hAnsi="宋体" w:cs="宋体"/>
          <w:szCs w:val="21"/>
          <w:highlight w:val="none"/>
        </w:rPr>
        <w:t>（5）《工业阀门 压力试验》（GB/T13927-2008）；</w:t>
      </w:r>
    </w:p>
    <w:p w14:paraId="635726A9">
      <w:pPr>
        <w:spacing w:line="480" w:lineRule="exact"/>
        <w:ind w:firstLine="420" w:firstLineChars="200"/>
        <w:rPr>
          <w:rFonts w:ascii="宋体" w:hAnsi="宋体" w:cs="宋体"/>
          <w:szCs w:val="21"/>
          <w:highlight w:val="none"/>
        </w:rPr>
      </w:pPr>
      <w:r>
        <w:rPr>
          <w:rFonts w:hint="eastAsia" w:ascii="宋体" w:hAnsi="宋体" w:cs="宋体"/>
          <w:szCs w:val="21"/>
          <w:highlight w:val="none"/>
        </w:rPr>
        <w:t>（6）《通用阀门 标志》（GB/T 12220-2015）；</w:t>
      </w:r>
    </w:p>
    <w:p w14:paraId="4B6BE43D">
      <w:pPr>
        <w:spacing w:line="480" w:lineRule="exact"/>
        <w:ind w:firstLine="420" w:firstLineChars="200"/>
        <w:rPr>
          <w:rFonts w:ascii="宋体" w:hAnsi="宋体" w:cs="宋体"/>
          <w:szCs w:val="21"/>
          <w:highlight w:val="none"/>
        </w:rPr>
      </w:pPr>
      <w:r>
        <w:rPr>
          <w:rFonts w:hint="eastAsia" w:ascii="宋体" w:hAnsi="宋体" w:cs="宋体"/>
          <w:szCs w:val="21"/>
          <w:highlight w:val="none"/>
        </w:rPr>
        <w:t>（7）《金属阀门 结构长度》（GB/T 12221-2005）；</w:t>
      </w:r>
    </w:p>
    <w:p w14:paraId="05C0AA69">
      <w:pPr>
        <w:spacing w:line="480" w:lineRule="exact"/>
        <w:ind w:firstLine="420" w:firstLineChars="200"/>
        <w:rPr>
          <w:rFonts w:ascii="宋体" w:hAnsi="宋体" w:cs="宋体"/>
          <w:szCs w:val="21"/>
          <w:highlight w:val="none"/>
        </w:rPr>
      </w:pPr>
      <w:r>
        <w:rPr>
          <w:rFonts w:hint="eastAsia" w:ascii="宋体" w:hAnsi="宋体" w:cs="宋体"/>
          <w:szCs w:val="21"/>
          <w:highlight w:val="none"/>
        </w:rPr>
        <w:t>（8）《通用阀门 灰铁件技术条件》（GB/T 12226-2005）；</w:t>
      </w:r>
    </w:p>
    <w:p w14:paraId="3DB6985A">
      <w:pPr>
        <w:spacing w:line="480" w:lineRule="exact"/>
        <w:ind w:firstLine="420" w:firstLineChars="200"/>
        <w:rPr>
          <w:rFonts w:ascii="宋体" w:hAnsi="宋体" w:cs="宋体"/>
          <w:szCs w:val="21"/>
          <w:highlight w:val="none"/>
        </w:rPr>
      </w:pPr>
      <w:r>
        <w:rPr>
          <w:rFonts w:hint="eastAsia" w:ascii="宋体" w:hAnsi="宋体" w:cs="宋体"/>
          <w:szCs w:val="21"/>
          <w:highlight w:val="none"/>
        </w:rPr>
        <w:t>（9）《通用阀门 球墨铸铁件技术条件》（GB/T 12227-2005）；</w:t>
      </w:r>
    </w:p>
    <w:p w14:paraId="3D35C223">
      <w:pPr>
        <w:spacing w:line="480" w:lineRule="exact"/>
        <w:ind w:firstLine="420" w:firstLineChars="200"/>
        <w:rPr>
          <w:rFonts w:ascii="宋体" w:hAnsi="宋体" w:cs="宋体"/>
          <w:szCs w:val="21"/>
          <w:highlight w:val="none"/>
        </w:rPr>
      </w:pPr>
      <w:r>
        <w:rPr>
          <w:rFonts w:hint="eastAsia" w:ascii="宋体" w:hAnsi="宋体" w:cs="宋体"/>
          <w:szCs w:val="21"/>
          <w:highlight w:val="none"/>
        </w:rPr>
        <w:t>（10）《通用阀门 碳素钢锻件技术条件》（GB/T 12228-2005）；</w:t>
      </w:r>
    </w:p>
    <w:p w14:paraId="21A8ACB7">
      <w:pPr>
        <w:spacing w:line="480" w:lineRule="exact"/>
        <w:ind w:firstLine="420" w:firstLineChars="200"/>
        <w:rPr>
          <w:rFonts w:ascii="宋体" w:hAnsi="宋体" w:cs="宋体"/>
          <w:szCs w:val="21"/>
          <w:highlight w:val="none"/>
        </w:rPr>
      </w:pPr>
      <w:r>
        <w:rPr>
          <w:rFonts w:hint="eastAsia" w:ascii="宋体" w:hAnsi="宋体" w:cs="宋体"/>
          <w:szCs w:val="21"/>
          <w:highlight w:val="none"/>
        </w:rPr>
        <w:t>（11）《通用阀门 碳素钢铸件技术条件》（GB/T 12229-2005）；</w:t>
      </w:r>
    </w:p>
    <w:p w14:paraId="40E4F5C8">
      <w:pPr>
        <w:spacing w:line="480" w:lineRule="exact"/>
        <w:ind w:firstLine="420" w:firstLineChars="200"/>
        <w:rPr>
          <w:rFonts w:ascii="宋体" w:hAnsi="宋体" w:cs="宋体"/>
          <w:szCs w:val="21"/>
          <w:highlight w:val="none"/>
        </w:rPr>
      </w:pPr>
      <w:r>
        <w:rPr>
          <w:rFonts w:hint="eastAsia" w:ascii="宋体" w:hAnsi="宋体" w:cs="宋体"/>
          <w:szCs w:val="21"/>
          <w:highlight w:val="none"/>
        </w:rPr>
        <w:t>（12）《通用阀门 不锈钢铸件技术条件》（GB/T 12230-2005）；</w:t>
      </w:r>
    </w:p>
    <w:p w14:paraId="1E84C7E2">
      <w:pPr>
        <w:spacing w:line="480" w:lineRule="exact"/>
        <w:ind w:firstLine="420" w:firstLineChars="200"/>
        <w:rPr>
          <w:rFonts w:ascii="宋体" w:hAnsi="宋体" w:cs="宋体"/>
          <w:szCs w:val="21"/>
          <w:highlight w:val="none"/>
        </w:rPr>
      </w:pPr>
      <w:r>
        <w:rPr>
          <w:rFonts w:hint="eastAsia" w:ascii="宋体" w:hAnsi="宋体" w:cs="宋体"/>
          <w:szCs w:val="21"/>
          <w:highlight w:val="none"/>
        </w:rPr>
        <w:t>（13）《不锈钢棒》（GB/T 1220-2007）；</w:t>
      </w:r>
    </w:p>
    <w:p w14:paraId="059E1CDB">
      <w:pPr>
        <w:spacing w:line="480" w:lineRule="exact"/>
        <w:ind w:firstLine="420" w:firstLineChars="200"/>
        <w:rPr>
          <w:rFonts w:ascii="宋体" w:hAnsi="宋体" w:cs="宋体"/>
          <w:szCs w:val="21"/>
          <w:highlight w:val="none"/>
        </w:rPr>
      </w:pPr>
      <w:r>
        <w:rPr>
          <w:rFonts w:hint="eastAsia" w:ascii="宋体" w:hAnsi="宋体" w:cs="宋体"/>
          <w:szCs w:val="21"/>
          <w:highlight w:val="none"/>
        </w:rPr>
        <w:t>（14）《工业阀门 供货要求》（JB/T 7928-2014）；</w:t>
      </w:r>
    </w:p>
    <w:p w14:paraId="6610D72D">
      <w:pPr>
        <w:spacing w:line="480" w:lineRule="exact"/>
        <w:ind w:left="479" w:leftChars="228"/>
        <w:rPr>
          <w:rFonts w:ascii="宋体" w:hAnsi="宋体" w:cs="宋体"/>
          <w:szCs w:val="21"/>
          <w:highlight w:val="none"/>
        </w:rPr>
      </w:pPr>
      <w:r>
        <w:rPr>
          <w:rFonts w:hint="eastAsia" w:ascii="宋体" w:hAnsi="宋体" w:cs="宋体"/>
          <w:szCs w:val="21"/>
          <w:highlight w:val="none"/>
        </w:rPr>
        <w:t>（15）《生活饮用水输配水设备及防护材料的安全性评价标准》（GB/T 17219-1998）；</w:t>
      </w:r>
    </w:p>
    <w:p w14:paraId="3AF21623">
      <w:pPr>
        <w:spacing w:line="480" w:lineRule="exact"/>
        <w:ind w:firstLine="420" w:firstLineChars="200"/>
        <w:rPr>
          <w:rFonts w:ascii="宋体" w:hAnsi="宋体" w:cs="宋体"/>
          <w:szCs w:val="21"/>
          <w:highlight w:val="none"/>
        </w:rPr>
      </w:pPr>
      <w:r>
        <w:rPr>
          <w:rFonts w:hint="eastAsia" w:ascii="宋体" w:hAnsi="宋体" w:cs="宋体"/>
          <w:szCs w:val="21"/>
          <w:highlight w:val="none"/>
        </w:rPr>
        <w:t>（16）《阀门的检验和试验》（GB/T 26480-2011）；</w:t>
      </w:r>
    </w:p>
    <w:p w14:paraId="37537D4D">
      <w:pPr>
        <w:spacing w:line="480" w:lineRule="exact"/>
        <w:ind w:left="1103" w:leftChars="225" w:hanging="630" w:hangingChars="300"/>
        <w:rPr>
          <w:rFonts w:ascii="宋体" w:hAnsi="宋体" w:cs="宋体"/>
          <w:szCs w:val="21"/>
          <w:highlight w:val="none"/>
        </w:rPr>
      </w:pPr>
      <w:r>
        <w:rPr>
          <w:rFonts w:hint="eastAsia" w:ascii="宋体" w:hAnsi="宋体" w:cs="宋体"/>
          <w:szCs w:val="21"/>
          <w:highlight w:val="none"/>
        </w:rPr>
        <w:t>（17）《涂覆涂料前钢材表面处理 表面清洁度的目视评定 第1部分：未涂覆过的钢材表面和全面清除原有涂层后的钢材表面的锈蚀等级和处理等级》（GB/T 8923.1-2011）；</w:t>
      </w:r>
    </w:p>
    <w:p w14:paraId="44BAD9D0">
      <w:pPr>
        <w:spacing w:line="480" w:lineRule="exact"/>
        <w:ind w:left="1103" w:leftChars="225" w:hanging="630" w:hangingChars="300"/>
        <w:rPr>
          <w:rFonts w:ascii="宋体" w:hAnsi="宋体" w:cs="宋体"/>
          <w:szCs w:val="21"/>
          <w:highlight w:val="none"/>
        </w:rPr>
      </w:pPr>
      <w:r>
        <w:rPr>
          <w:rFonts w:hint="eastAsia" w:ascii="宋体" w:hAnsi="宋体" w:cs="宋体"/>
          <w:szCs w:val="21"/>
          <w:highlight w:val="none"/>
        </w:rPr>
        <w:t>（18）《涂覆涂料前钢材表面处理 表面清洁度的目视评定 第2部分：已涂覆过的钢材表面局部清除原有涂层后的处理等级》（GB/T 8923.2-2008）；</w:t>
      </w:r>
    </w:p>
    <w:p w14:paraId="4056768E">
      <w:pPr>
        <w:spacing w:line="480" w:lineRule="exact"/>
        <w:ind w:left="1103" w:leftChars="225" w:hanging="630" w:hangingChars="300"/>
        <w:rPr>
          <w:rFonts w:ascii="宋体" w:hAnsi="宋体" w:cs="宋体"/>
          <w:szCs w:val="21"/>
          <w:highlight w:val="none"/>
        </w:rPr>
      </w:pPr>
      <w:r>
        <w:rPr>
          <w:rFonts w:hint="eastAsia" w:ascii="宋体" w:hAnsi="宋体" w:cs="宋体"/>
          <w:szCs w:val="21"/>
          <w:highlight w:val="none"/>
        </w:rPr>
        <w:t>（19）《涂覆涂料前钢材表面处理 表面清洁度的目视评定 第3部分：焊缝、边缘和</w:t>
      </w:r>
      <w:r>
        <w:rPr>
          <w:rFonts w:hint="eastAsia" w:ascii="宋体" w:hAnsi="宋体" w:cs="宋体"/>
          <w:szCs w:val="21"/>
          <w:highlight w:val="none"/>
          <w:lang w:eastAsia="zh-CN"/>
        </w:rPr>
        <w:t>其他</w:t>
      </w:r>
      <w:r>
        <w:rPr>
          <w:rFonts w:hint="eastAsia" w:ascii="宋体" w:hAnsi="宋体" w:cs="宋体"/>
          <w:szCs w:val="21"/>
          <w:highlight w:val="none"/>
        </w:rPr>
        <w:t>区域的表面缺陷处理等级》（GB/T 8923.3-2009）；</w:t>
      </w:r>
    </w:p>
    <w:p w14:paraId="178C7B60">
      <w:pPr>
        <w:spacing w:line="480" w:lineRule="exact"/>
        <w:ind w:firstLine="420" w:firstLineChars="200"/>
        <w:rPr>
          <w:rFonts w:ascii="宋体" w:hAnsi="宋体" w:cs="宋体"/>
          <w:szCs w:val="21"/>
          <w:highlight w:val="none"/>
        </w:rPr>
      </w:pPr>
      <w:r>
        <w:rPr>
          <w:rFonts w:hint="eastAsia" w:ascii="宋体" w:hAnsi="宋体" w:cs="宋体"/>
          <w:szCs w:val="21"/>
          <w:highlight w:val="none"/>
        </w:rPr>
        <w:t>（20）《普通型阀门电动装置技术条件》（GB/T 24923-2010）；</w:t>
      </w:r>
    </w:p>
    <w:p w14:paraId="449AFE2F">
      <w:pPr>
        <w:spacing w:line="480" w:lineRule="exact"/>
        <w:ind w:firstLine="420" w:firstLineChars="200"/>
        <w:rPr>
          <w:rFonts w:ascii="宋体" w:hAnsi="宋体" w:cs="宋体"/>
          <w:szCs w:val="21"/>
          <w:highlight w:val="none"/>
        </w:rPr>
      </w:pPr>
      <w:r>
        <w:rPr>
          <w:rFonts w:hint="eastAsia" w:ascii="宋体" w:hAnsi="宋体" w:cs="宋体"/>
          <w:szCs w:val="21"/>
          <w:highlight w:val="none"/>
        </w:rPr>
        <w:t>（21）《部分回转阀门驱动装置的连接》（GB/T 12223-2005）；</w:t>
      </w:r>
    </w:p>
    <w:p w14:paraId="797343F4">
      <w:pPr>
        <w:spacing w:line="480" w:lineRule="exact"/>
        <w:ind w:firstLine="420" w:firstLineChars="200"/>
        <w:rPr>
          <w:rFonts w:ascii="宋体" w:hAnsi="宋体" w:cs="宋体"/>
          <w:szCs w:val="21"/>
          <w:highlight w:val="none"/>
        </w:rPr>
      </w:pPr>
      <w:r>
        <w:rPr>
          <w:rFonts w:hint="eastAsia" w:ascii="宋体" w:hAnsi="宋体" w:cs="宋体"/>
          <w:szCs w:val="21"/>
          <w:highlight w:val="none"/>
        </w:rPr>
        <w:t>（22）《外壳防护等级（IP代码）》（GB/T 4208-2017）；</w:t>
      </w:r>
    </w:p>
    <w:p w14:paraId="4D670CEC">
      <w:pPr>
        <w:spacing w:line="480" w:lineRule="exact"/>
        <w:ind w:left="2789" w:leftChars="228" w:hanging="2310" w:hangingChars="1100"/>
        <w:rPr>
          <w:rFonts w:ascii="宋体" w:hAnsi="宋体" w:cs="宋体"/>
          <w:szCs w:val="21"/>
          <w:highlight w:val="none"/>
        </w:rPr>
      </w:pPr>
      <w:r>
        <w:rPr>
          <w:rFonts w:hint="eastAsia" w:ascii="宋体" w:hAnsi="宋体" w:cs="宋体"/>
          <w:szCs w:val="21"/>
          <w:highlight w:val="none"/>
        </w:rPr>
        <w:t>（23）《橡胶密封圈 给、排水管及污水管道用接口密封圈 材料规范》（GB/T 21873-2008）；</w:t>
      </w:r>
    </w:p>
    <w:p w14:paraId="1B142870">
      <w:pPr>
        <w:spacing w:line="480" w:lineRule="exact"/>
        <w:ind w:firstLine="420" w:firstLineChars="200"/>
        <w:rPr>
          <w:rFonts w:ascii="宋体" w:hAnsi="宋体" w:cs="宋体"/>
          <w:szCs w:val="21"/>
          <w:highlight w:val="none"/>
        </w:rPr>
      </w:pPr>
      <w:r>
        <w:rPr>
          <w:rFonts w:hint="eastAsia" w:ascii="宋体" w:hAnsi="宋体" w:cs="宋体"/>
          <w:szCs w:val="21"/>
          <w:highlight w:val="none"/>
        </w:rPr>
        <w:t>（23）其他现行相关国家标准、行业规范。</w:t>
      </w:r>
    </w:p>
    <w:p w14:paraId="2B14103E">
      <w:pPr>
        <w:spacing w:line="480" w:lineRule="exact"/>
        <w:ind w:firstLine="420" w:firstLineChars="200"/>
        <w:rPr>
          <w:rFonts w:ascii="宋体" w:hAnsi="宋体" w:cs="宋体"/>
          <w:szCs w:val="21"/>
          <w:highlight w:val="none"/>
        </w:rPr>
      </w:pPr>
      <w:r>
        <w:rPr>
          <w:rFonts w:hint="eastAsia" w:ascii="宋体" w:hAnsi="宋体" w:cs="宋体"/>
          <w:szCs w:val="21"/>
          <w:highlight w:val="none"/>
        </w:rPr>
        <w:t>以上标准或规范若由新标准或规范替代时，则执行有效的新标准或规范。</w:t>
      </w:r>
    </w:p>
    <w:p w14:paraId="6016A4EF">
      <w:pPr>
        <w:spacing w:line="480" w:lineRule="exact"/>
        <w:ind w:firstLine="420" w:firstLineChars="200"/>
        <w:rPr>
          <w:rFonts w:ascii="宋体" w:hAnsi="宋体" w:cs="宋体"/>
          <w:szCs w:val="21"/>
          <w:highlight w:val="none"/>
        </w:rPr>
      </w:pPr>
      <w:r>
        <w:rPr>
          <w:rFonts w:hint="eastAsia" w:ascii="宋体" w:hAnsi="宋体" w:cs="宋体"/>
          <w:szCs w:val="21"/>
          <w:highlight w:val="none"/>
        </w:rPr>
        <w:t>2.1.3  卫生指标</w:t>
      </w:r>
      <w:r>
        <w:rPr>
          <w:rFonts w:hint="eastAsia" w:ascii="宋体" w:hAnsi="宋体" w:cs="宋体"/>
          <w:szCs w:val="21"/>
          <w:highlight w:val="none"/>
          <w:lang w:eastAsia="zh-CN"/>
        </w:rPr>
        <w:t>：</w:t>
      </w:r>
      <w:r>
        <w:rPr>
          <w:rFonts w:hint="eastAsia" w:ascii="宋体" w:hAnsi="宋体" w:cs="宋体"/>
          <w:szCs w:val="21"/>
          <w:highlight w:val="none"/>
        </w:rPr>
        <w:t>承包人提供的产品，供货时提供产品与介质接触的橡胶、环氧树脂涂层的卫生批件或卫生检测报告。阀门所有零部件、密封件、防腐涂料均不得采用可能对饮用水造成污染的材料。</w:t>
      </w:r>
    </w:p>
    <w:p w14:paraId="270D3D76">
      <w:pPr>
        <w:spacing w:line="480" w:lineRule="exact"/>
        <w:ind w:firstLine="420" w:firstLineChars="200"/>
        <w:rPr>
          <w:rFonts w:ascii="宋体" w:hAnsi="宋体" w:cs="宋体"/>
          <w:szCs w:val="21"/>
          <w:highlight w:val="none"/>
        </w:rPr>
      </w:pPr>
      <w:r>
        <w:rPr>
          <w:rFonts w:hint="eastAsia" w:ascii="宋体" w:hAnsi="宋体" w:cs="宋体"/>
          <w:szCs w:val="21"/>
          <w:highlight w:val="none"/>
        </w:rPr>
        <w:t>2.1.4  工作介质、温度</w:t>
      </w:r>
    </w:p>
    <w:p w14:paraId="31D08499">
      <w:pPr>
        <w:spacing w:line="480" w:lineRule="exact"/>
        <w:ind w:firstLine="420" w:firstLineChars="200"/>
        <w:rPr>
          <w:rFonts w:ascii="宋体" w:hAnsi="宋体" w:cs="宋体"/>
          <w:szCs w:val="21"/>
          <w:highlight w:val="none"/>
        </w:rPr>
      </w:pPr>
      <w:r>
        <w:rPr>
          <w:rFonts w:hint="eastAsia" w:ascii="宋体" w:hAnsi="宋体" w:cs="宋体"/>
          <w:szCs w:val="21"/>
          <w:highlight w:val="none"/>
        </w:rPr>
        <w:t>工作介质为原水，工作温度0℃～80℃。</w:t>
      </w:r>
    </w:p>
    <w:p w14:paraId="1313BE78">
      <w:pPr>
        <w:spacing w:line="480" w:lineRule="exact"/>
        <w:ind w:firstLine="420" w:firstLineChars="200"/>
        <w:rPr>
          <w:rFonts w:ascii="宋体" w:hAnsi="宋体" w:cs="宋体"/>
          <w:szCs w:val="21"/>
          <w:highlight w:val="none"/>
        </w:rPr>
      </w:pPr>
      <w:r>
        <w:rPr>
          <w:rFonts w:hint="eastAsia" w:ascii="宋体" w:hAnsi="宋体" w:cs="宋体"/>
          <w:szCs w:val="21"/>
          <w:highlight w:val="none"/>
        </w:rPr>
        <w:t>2.1.5  型式和说明</w:t>
      </w:r>
    </w:p>
    <w:p w14:paraId="5531E7DC">
      <w:pPr>
        <w:spacing w:line="480" w:lineRule="exact"/>
        <w:ind w:firstLine="420" w:firstLineChars="200"/>
        <w:rPr>
          <w:rFonts w:ascii="宋体" w:hAnsi="宋体" w:cs="宋体"/>
          <w:szCs w:val="21"/>
          <w:highlight w:val="none"/>
        </w:rPr>
      </w:pPr>
      <w:r>
        <w:rPr>
          <w:rFonts w:hint="eastAsia" w:ascii="宋体" w:hAnsi="宋体" w:cs="宋体"/>
          <w:szCs w:val="21"/>
          <w:highlight w:val="none"/>
        </w:rPr>
        <w:t>（1）蝶阀为双法兰连接、双偏心软密封结构，采用电手动操作，立式（或卧式）安装（以施工图为准）。</w:t>
      </w:r>
    </w:p>
    <w:p w14:paraId="7B517977">
      <w:pPr>
        <w:spacing w:line="480" w:lineRule="exact"/>
        <w:ind w:firstLine="420" w:firstLineChars="200"/>
        <w:rPr>
          <w:rFonts w:ascii="宋体" w:hAnsi="宋体" w:cs="宋体"/>
          <w:szCs w:val="21"/>
          <w:highlight w:val="none"/>
        </w:rPr>
      </w:pPr>
      <w:r>
        <w:rPr>
          <w:rFonts w:hint="eastAsia" w:ascii="宋体" w:hAnsi="宋体" w:cs="宋体"/>
          <w:szCs w:val="21"/>
          <w:highlight w:val="none"/>
        </w:rPr>
        <w:t>（2）阀体用地脚螺栓固定在混凝土基础上。</w:t>
      </w:r>
    </w:p>
    <w:p w14:paraId="6EE5B87D">
      <w:pPr>
        <w:spacing w:line="480" w:lineRule="exact"/>
        <w:ind w:firstLine="420" w:firstLineChars="200"/>
        <w:rPr>
          <w:rFonts w:ascii="宋体" w:hAnsi="宋体" w:cs="宋体"/>
          <w:szCs w:val="21"/>
          <w:highlight w:val="none"/>
        </w:rPr>
      </w:pPr>
      <w:r>
        <w:rPr>
          <w:rFonts w:hint="eastAsia" w:ascii="宋体" w:hAnsi="宋体" w:cs="宋体"/>
          <w:szCs w:val="21"/>
          <w:highlight w:val="none"/>
        </w:rPr>
        <w:t>（3）阀门结构设计要求能方便地进行检修、安装和拆卸。所有主要部件和分件起吊的部件，要设置吊环螺栓，吊耳或便于装卸的起吊装置。</w:t>
      </w:r>
    </w:p>
    <w:p w14:paraId="328F2FFA">
      <w:pPr>
        <w:spacing w:line="480" w:lineRule="exact"/>
        <w:ind w:firstLine="420" w:firstLineChars="200"/>
        <w:rPr>
          <w:rFonts w:ascii="宋体" w:hAnsi="宋体" w:cs="宋体"/>
          <w:szCs w:val="21"/>
          <w:highlight w:val="none"/>
        </w:rPr>
      </w:pPr>
      <w:r>
        <w:rPr>
          <w:rFonts w:hint="eastAsia" w:ascii="宋体" w:hAnsi="宋体" w:cs="宋体"/>
          <w:szCs w:val="21"/>
          <w:highlight w:val="none"/>
        </w:rPr>
        <w:t>2.1.6  设计和工作条件</w:t>
      </w:r>
    </w:p>
    <w:p w14:paraId="29F2F370">
      <w:pPr>
        <w:spacing w:line="480" w:lineRule="exact"/>
        <w:ind w:firstLine="420" w:firstLineChars="200"/>
        <w:rPr>
          <w:rFonts w:ascii="宋体" w:hAnsi="宋体" w:cs="宋体"/>
          <w:szCs w:val="21"/>
          <w:highlight w:val="none"/>
        </w:rPr>
      </w:pPr>
      <w:r>
        <w:rPr>
          <w:rFonts w:hint="eastAsia" w:ascii="宋体" w:hAnsi="宋体" w:cs="宋体"/>
          <w:szCs w:val="21"/>
          <w:highlight w:val="none"/>
        </w:rPr>
        <w:t xml:space="preserve">（1）正常工况下，蝶阀作为检修时截断水流的工作阀。 </w:t>
      </w:r>
    </w:p>
    <w:p w14:paraId="5C284542">
      <w:pPr>
        <w:spacing w:line="480" w:lineRule="exact"/>
        <w:ind w:firstLine="420" w:firstLineChars="200"/>
        <w:rPr>
          <w:rFonts w:ascii="宋体" w:hAnsi="宋体" w:cs="宋体"/>
          <w:szCs w:val="21"/>
          <w:highlight w:val="none"/>
        </w:rPr>
      </w:pPr>
      <w:r>
        <w:rPr>
          <w:rFonts w:hint="eastAsia" w:ascii="宋体" w:hAnsi="宋体" w:cs="宋体"/>
          <w:szCs w:val="21"/>
          <w:highlight w:val="none"/>
        </w:rPr>
        <w:t>（2）阀门应能承受正常工作压力和最大水锤压力，其工作应力不超过材料允许应力。阀门设计压力为1.0MPa。</w:t>
      </w:r>
    </w:p>
    <w:p w14:paraId="2D44E7B1">
      <w:pPr>
        <w:spacing w:line="480" w:lineRule="exact"/>
        <w:ind w:firstLine="420" w:firstLineChars="200"/>
        <w:rPr>
          <w:rFonts w:ascii="宋体" w:hAnsi="宋体" w:cs="宋体"/>
          <w:szCs w:val="21"/>
          <w:highlight w:val="none"/>
        </w:rPr>
      </w:pPr>
      <w:r>
        <w:rPr>
          <w:rFonts w:hint="eastAsia" w:ascii="宋体" w:hAnsi="宋体" w:cs="宋体"/>
          <w:szCs w:val="21"/>
          <w:highlight w:val="none"/>
        </w:rPr>
        <w:t>（3）正常工况下，过阀流速不大于5m/s。</w:t>
      </w:r>
    </w:p>
    <w:p w14:paraId="17CFF7C7">
      <w:pPr>
        <w:spacing w:line="480" w:lineRule="exact"/>
        <w:ind w:firstLine="420" w:firstLineChars="200"/>
        <w:rPr>
          <w:rFonts w:ascii="宋体" w:hAnsi="宋体" w:cs="宋体"/>
          <w:szCs w:val="21"/>
          <w:highlight w:val="none"/>
        </w:rPr>
      </w:pPr>
      <w:r>
        <w:rPr>
          <w:rFonts w:hint="eastAsia" w:ascii="宋体" w:hAnsi="宋体" w:cs="宋体"/>
          <w:szCs w:val="21"/>
          <w:highlight w:val="none"/>
        </w:rPr>
        <w:t>（4）阀门的阀板只处于全开或全关位置，不</w:t>
      </w:r>
      <w:r>
        <w:rPr>
          <w:rFonts w:hint="eastAsia" w:ascii="宋体" w:hAnsi="宋体" w:cs="宋体"/>
          <w:szCs w:val="21"/>
          <w:highlight w:val="none"/>
          <w:lang w:eastAsia="zh-CN"/>
        </w:rPr>
        <w:t>做</w:t>
      </w:r>
      <w:r>
        <w:rPr>
          <w:rFonts w:hint="eastAsia" w:ascii="宋体" w:hAnsi="宋体" w:cs="宋体"/>
          <w:szCs w:val="21"/>
          <w:highlight w:val="none"/>
        </w:rPr>
        <w:t>调节流量用。</w:t>
      </w:r>
    </w:p>
    <w:p w14:paraId="3BE0AAD2">
      <w:pPr>
        <w:spacing w:line="480" w:lineRule="exact"/>
        <w:ind w:firstLine="420" w:firstLineChars="200"/>
        <w:rPr>
          <w:rFonts w:ascii="宋体" w:hAnsi="宋体" w:cs="宋体"/>
          <w:szCs w:val="21"/>
          <w:highlight w:val="none"/>
        </w:rPr>
      </w:pPr>
      <w:r>
        <w:rPr>
          <w:rFonts w:hint="eastAsia" w:ascii="宋体" w:hAnsi="宋体" w:cs="宋体"/>
          <w:szCs w:val="21"/>
          <w:highlight w:val="none"/>
        </w:rPr>
        <w:t>（5）阀门关闭时能双向受压，其最大压力为设计压力。</w:t>
      </w:r>
    </w:p>
    <w:p w14:paraId="69D542D4">
      <w:pPr>
        <w:spacing w:line="480" w:lineRule="exact"/>
        <w:ind w:firstLine="420" w:firstLineChars="200"/>
        <w:rPr>
          <w:rFonts w:ascii="宋体" w:hAnsi="宋体" w:cs="宋体"/>
          <w:szCs w:val="21"/>
          <w:highlight w:val="none"/>
        </w:rPr>
      </w:pPr>
      <w:r>
        <w:rPr>
          <w:rFonts w:hint="eastAsia" w:ascii="宋体" w:hAnsi="宋体" w:cs="宋体"/>
          <w:szCs w:val="21"/>
          <w:highlight w:val="none"/>
        </w:rPr>
        <w:t>（6）阀体采用U形加强筋设计，有足够的强度和刚度，上下游法兰能传递</w:t>
      </w:r>
      <w:r>
        <w:rPr>
          <w:rFonts w:hint="eastAsia" w:ascii="宋体" w:hAnsi="宋体" w:cs="宋体"/>
          <w:szCs w:val="21"/>
          <w:highlight w:val="none"/>
          <w:lang w:eastAsia="zh-CN"/>
        </w:rPr>
        <w:t>出</w:t>
      </w:r>
      <w:r>
        <w:rPr>
          <w:rFonts w:hint="eastAsia" w:ascii="宋体" w:hAnsi="宋体" w:cs="宋体"/>
          <w:szCs w:val="21"/>
          <w:highlight w:val="none"/>
        </w:rPr>
        <w:t>的最大轴向力，阀体配有坚固的底座能把全部垂直荷载包括延伸部件和水的接力器拉力等安全地传递到混凝土基础上。当接力器支承在混凝土基础上时，保证在最大操作力矩下接力器基础受压。</w:t>
      </w:r>
    </w:p>
    <w:p w14:paraId="7402FCB9">
      <w:pPr>
        <w:spacing w:line="480" w:lineRule="exact"/>
        <w:ind w:firstLine="420" w:firstLineChars="200"/>
        <w:rPr>
          <w:rFonts w:ascii="宋体" w:hAnsi="宋体" w:cs="宋体"/>
          <w:szCs w:val="21"/>
          <w:highlight w:val="none"/>
        </w:rPr>
      </w:pPr>
      <w:r>
        <w:rPr>
          <w:rFonts w:hint="eastAsia" w:ascii="宋体" w:hAnsi="宋体" w:cs="宋体"/>
          <w:szCs w:val="21"/>
          <w:highlight w:val="none"/>
        </w:rPr>
        <w:t>（7）阀门底座螺栓孔为椭圆孔，容许钢管的少量伸缩带来的位移，底座底面与底板接触面经加工成光滑面。</w:t>
      </w:r>
    </w:p>
    <w:p w14:paraId="4CCB68C8">
      <w:pPr>
        <w:spacing w:line="480" w:lineRule="exact"/>
        <w:ind w:firstLine="420" w:firstLineChars="200"/>
        <w:rPr>
          <w:rFonts w:ascii="宋体" w:hAnsi="宋体" w:cs="宋体"/>
          <w:szCs w:val="21"/>
          <w:highlight w:val="none"/>
        </w:rPr>
      </w:pPr>
      <w:r>
        <w:rPr>
          <w:rFonts w:hint="eastAsia" w:ascii="宋体" w:hAnsi="宋体" w:cs="宋体"/>
          <w:szCs w:val="21"/>
          <w:highlight w:val="none"/>
        </w:rPr>
        <w:t>（8）阀门能手动和自动操作，现地控制。</w:t>
      </w:r>
    </w:p>
    <w:p w14:paraId="76D9F5AA">
      <w:pPr>
        <w:spacing w:line="480" w:lineRule="exact"/>
        <w:ind w:firstLine="420" w:firstLineChars="200"/>
        <w:rPr>
          <w:rFonts w:ascii="宋体" w:hAnsi="宋体" w:cs="宋体"/>
          <w:szCs w:val="21"/>
          <w:highlight w:val="none"/>
        </w:rPr>
      </w:pPr>
      <w:r>
        <w:rPr>
          <w:rFonts w:hint="eastAsia" w:ascii="宋体" w:hAnsi="宋体" w:cs="宋体"/>
          <w:szCs w:val="21"/>
          <w:highlight w:val="none"/>
        </w:rPr>
        <w:t>2.1.7  阀体</w:t>
      </w:r>
    </w:p>
    <w:p w14:paraId="134FE83E">
      <w:pPr>
        <w:spacing w:line="480" w:lineRule="exact"/>
        <w:ind w:firstLine="420" w:firstLineChars="200"/>
        <w:rPr>
          <w:rFonts w:ascii="宋体" w:hAnsi="宋体" w:cs="宋体"/>
          <w:szCs w:val="21"/>
          <w:highlight w:val="none"/>
        </w:rPr>
      </w:pPr>
      <w:r>
        <w:rPr>
          <w:rFonts w:hint="eastAsia" w:ascii="宋体" w:hAnsi="宋体" w:cs="宋体"/>
          <w:szCs w:val="21"/>
          <w:highlight w:val="none"/>
        </w:rPr>
        <w:t>（1）阀体应整体铸造，材料采用球墨铸铁（QT450-10或力学性能更高的材料），铸造工艺为树脂砂型，应在阀体适当位置设置吊环，并设置地脚支架及固定螺栓孔。阀门有支撑底座，该底座按传递全部垂直载荷、水平荷载和动载荷设计。</w:t>
      </w:r>
    </w:p>
    <w:p w14:paraId="339DA4A3">
      <w:pPr>
        <w:spacing w:line="480" w:lineRule="exact"/>
        <w:ind w:firstLine="420" w:firstLineChars="200"/>
        <w:rPr>
          <w:rFonts w:ascii="宋体" w:hAnsi="宋体" w:cs="宋体"/>
          <w:szCs w:val="21"/>
          <w:highlight w:val="none"/>
        </w:rPr>
      </w:pPr>
      <w:r>
        <w:rPr>
          <w:rFonts w:hint="eastAsia" w:ascii="宋体" w:hAnsi="宋体" w:cs="宋体"/>
          <w:szCs w:val="21"/>
          <w:highlight w:val="none"/>
        </w:rPr>
        <w:t>（2）法兰的材质与阀体一致。法兰要与阀体铸为一体，法兰要符合GB/T 17241.6-2008的有关规定。</w:t>
      </w:r>
    </w:p>
    <w:p w14:paraId="408C12E9">
      <w:pPr>
        <w:spacing w:line="480" w:lineRule="exact"/>
        <w:ind w:firstLine="420" w:firstLineChars="200"/>
        <w:rPr>
          <w:rFonts w:ascii="宋体" w:hAnsi="宋体" w:cs="宋体"/>
          <w:szCs w:val="21"/>
          <w:highlight w:val="none"/>
        </w:rPr>
      </w:pPr>
      <w:r>
        <w:rPr>
          <w:rFonts w:hint="eastAsia" w:ascii="宋体" w:hAnsi="宋体" w:cs="宋体"/>
          <w:szCs w:val="21"/>
          <w:highlight w:val="none"/>
        </w:rPr>
        <w:t>（3）阀体的最小壁厚应符合GB/T 12238-2008的规定。</w:t>
      </w:r>
    </w:p>
    <w:p w14:paraId="54241B2F">
      <w:pPr>
        <w:spacing w:line="480" w:lineRule="exact"/>
        <w:ind w:firstLine="420" w:firstLineChars="200"/>
        <w:rPr>
          <w:rFonts w:ascii="宋体" w:hAnsi="宋体" w:cs="宋体"/>
          <w:szCs w:val="21"/>
          <w:highlight w:val="none"/>
        </w:rPr>
      </w:pPr>
      <w:r>
        <w:rPr>
          <w:rFonts w:hint="eastAsia" w:ascii="宋体" w:hAnsi="宋体" w:cs="宋体"/>
          <w:szCs w:val="21"/>
          <w:highlight w:val="none"/>
        </w:rPr>
        <w:t xml:space="preserve">（4）阀体法兰联接全部为通孔结构，其长度可按GB/T 12221-2005标准的基本系列数据。  </w:t>
      </w:r>
    </w:p>
    <w:p w14:paraId="2B94922F">
      <w:pPr>
        <w:spacing w:line="480" w:lineRule="exact"/>
        <w:ind w:firstLine="420" w:firstLineChars="200"/>
        <w:rPr>
          <w:rFonts w:ascii="宋体" w:hAnsi="宋体" w:cs="宋体"/>
          <w:szCs w:val="21"/>
          <w:highlight w:val="none"/>
        </w:rPr>
      </w:pPr>
      <w:r>
        <w:rPr>
          <w:rFonts w:hint="eastAsia" w:ascii="宋体" w:hAnsi="宋体" w:cs="宋体"/>
          <w:szCs w:val="21"/>
          <w:highlight w:val="none"/>
        </w:rPr>
        <w:t>（5）电动阀应包含电动装置。</w:t>
      </w:r>
    </w:p>
    <w:p w14:paraId="4FD92B37">
      <w:pPr>
        <w:spacing w:line="480" w:lineRule="exact"/>
        <w:ind w:firstLine="420" w:firstLineChars="200"/>
        <w:rPr>
          <w:rFonts w:ascii="宋体" w:hAnsi="宋体" w:cs="宋体"/>
          <w:szCs w:val="21"/>
          <w:highlight w:val="none"/>
        </w:rPr>
      </w:pPr>
      <w:r>
        <w:rPr>
          <w:rFonts w:hint="eastAsia" w:ascii="宋体" w:hAnsi="宋体" w:cs="宋体"/>
          <w:szCs w:val="21"/>
          <w:highlight w:val="none"/>
        </w:rPr>
        <w:t>1）电动执行机构均采用国际知名原装进口品牌，采用罗托克(ROTORK)、乔登（JORDAN）、瑞典RC（REMOTE CONTROL）品牌的产品，电动执行机构与齿轮箱必须同一品牌，并提供授权书和原产地证明。</w:t>
      </w:r>
    </w:p>
    <w:p w14:paraId="0E195FA7">
      <w:pPr>
        <w:spacing w:line="480" w:lineRule="exact"/>
        <w:ind w:firstLine="420" w:firstLineChars="200"/>
        <w:rPr>
          <w:rFonts w:ascii="宋体" w:hAnsi="宋体" w:cs="宋体"/>
          <w:szCs w:val="21"/>
          <w:highlight w:val="none"/>
        </w:rPr>
      </w:pPr>
      <w:r>
        <w:rPr>
          <w:rFonts w:hint="eastAsia" w:ascii="宋体" w:hAnsi="宋体" w:cs="宋体"/>
          <w:szCs w:val="21"/>
          <w:highlight w:val="none"/>
        </w:rPr>
        <w:t>电源：380V、3AC、50Hz。</w:t>
      </w:r>
    </w:p>
    <w:p w14:paraId="40849D01">
      <w:pPr>
        <w:spacing w:line="480" w:lineRule="exact"/>
        <w:ind w:firstLine="420" w:firstLineChars="200"/>
        <w:rPr>
          <w:rFonts w:ascii="宋体" w:hAnsi="宋体" w:cs="宋体"/>
          <w:szCs w:val="21"/>
          <w:highlight w:val="none"/>
        </w:rPr>
      </w:pPr>
      <w:r>
        <w:rPr>
          <w:rFonts w:hint="eastAsia" w:ascii="宋体" w:hAnsi="宋体" w:cs="宋体"/>
          <w:szCs w:val="21"/>
          <w:highlight w:val="none"/>
        </w:rPr>
        <w:t>执行器应结构简单，性能可靠，便于调试、维护和维修。具有锤击功能、自锁式的输出，即使在手动模式下仍保持自锁。电动头多腔独立密封。</w:t>
      </w:r>
    </w:p>
    <w:p w14:paraId="6FDF5FEB">
      <w:pPr>
        <w:spacing w:line="480" w:lineRule="exact"/>
        <w:ind w:firstLine="420" w:firstLineChars="200"/>
        <w:rPr>
          <w:rFonts w:ascii="宋体" w:hAnsi="宋体" w:cs="宋体"/>
          <w:szCs w:val="21"/>
          <w:highlight w:val="none"/>
        </w:rPr>
      </w:pPr>
      <w:r>
        <w:rPr>
          <w:rFonts w:hint="eastAsia" w:ascii="宋体" w:hAnsi="宋体" w:cs="宋体"/>
          <w:szCs w:val="21"/>
          <w:highlight w:val="none"/>
        </w:rPr>
        <w:t>安装：阀门与执行机构的连接必须灵活方便，执行机构应能安装在阀杆的水平或垂直方向。</w:t>
      </w:r>
    </w:p>
    <w:p w14:paraId="1FE895C9">
      <w:pPr>
        <w:spacing w:line="480" w:lineRule="exact"/>
        <w:ind w:firstLine="420" w:firstLineChars="200"/>
        <w:rPr>
          <w:rFonts w:ascii="宋体" w:hAnsi="宋体" w:cs="宋体"/>
          <w:szCs w:val="21"/>
          <w:highlight w:val="none"/>
        </w:rPr>
      </w:pPr>
      <w:r>
        <w:rPr>
          <w:rFonts w:hint="eastAsia" w:ascii="宋体" w:hAnsi="宋体" w:cs="宋体"/>
          <w:szCs w:val="21"/>
          <w:highlight w:val="none"/>
        </w:rPr>
        <w:t>电动执行器拥有中断计时器的功能，可以通过设定有效地延长阀门的关闭行程时间，以防止阀门关闭时管道内流体的水锤冲击。</w:t>
      </w:r>
    </w:p>
    <w:p w14:paraId="1E8582BA">
      <w:pPr>
        <w:spacing w:line="480" w:lineRule="exact"/>
        <w:ind w:firstLine="420" w:firstLineChars="200"/>
        <w:rPr>
          <w:rFonts w:ascii="宋体" w:hAnsi="宋体" w:cs="宋体"/>
          <w:szCs w:val="21"/>
          <w:highlight w:val="none"/>
        </w:rPr>
      </w:pPr>
      <w:r>
        <w:rPr>
          <w:rFonts w:hint="eastAsia" w:ascii="宋体" w:hAnsi="宋体" w:cs="宋体"/>
          <w:szCs w:val="21"/>
          <w:highlight w:val="none"/>
        </w:rPr>
        <w:t>防护等级：必须达到IP68的防护等级要求。</w:t>
      </w:r>
    </w:p>
    <w:p w14:paraId="2F0A8B6C">
      <w:pPr>
        <w:spacing w:line="480" w:lineRule="exact"/>
        <w:ind w:firstLine="420" w:firstLineChars="200"/>
        <w:rPr>
          <w:rFonts w:ascii="宋体" w:hAnsi="宋体" w:cs="宋体"/>
          <w:szCs w:val="21"/>
          <w:highlight w:val="none"/>
        </w:rPr>
      </w:pPr>
      <w:r>
        <w:rPr>
          <w:rFonts w:hint="eastAsia" w:ascii="宋体" w:hAnsi="宋体" w:cs="宋体"/>
          <w:szCs w:val="21"/>
          <w:highlight w:val="none"/>
        </w:rPr>
        <w:t>密封：应采用先进的双密封</w:t>
      </w:r>
      <w:r>
        <w:rPr>
          <w:rFonts w:hint="eastAsia" w:ascii="宋体" w:hAnsi="宋体" w:cs="宋体"/>
          <w:szCs w:val="21"/>
          <w:highlight w:val="none"/>
          <w:lang w:eastAsia="zh-CN"/>
        </w:rPr>
        <w:t>结构</w:t>
      </w:r>
      <w:r>
        <w:rPr>
          <w:rFonts w:hint="eastAsia" w:ascii="宋体" w:hAnsi="宋体" w:cs="宋体"/>
          <w:szCs w:val="21"/>
          <w:highlight w:val="none"/>
        </w:rPr>
        <w:t>，保证即使在现场接线时，执行器内部不受外部环境影响。</w:t>
      </w:r>
    </w:p>
    <w:p w14:paraId="5D26139A">
      <w:pPr>
        <w:spacing w:line="480" w:lineRule="exact"/>
        <w:ind w:firstLine="420" w:firstLineChars="200"/>
        <w:rPr>
          <w:rFonts w:ascii="宋体" w:hAnsi="宋体" w:cs="宋体"/>
          <w:szCs w:val="21"/>
          <w:highlight w:val="none"/>
        </w:rPr>
      </w:pPr>
      <w:r>
        <w:rPr>
          <w:rFonts w:hint="eastAsia" w:ascii="宋体" w:hAnsi="宋体" w:cs="宋体"/>
          <w:szCs w:val="21"/>
          <w:highlight w:val="none"/>
        </w:rPr>
        <w:t>外壳材质：电机及机械传动部分为优质铝合金LM20（ASTMA316）</w:t>
      </w:r>
    </w:p>
    <w:p w14:paraId="753F3845">
      <w:pPr>
        <w:spacing w:line="480" w:lineRule="exact"/>
        <w:ind w:firstLine="420" w:firstLineChars="200"/>
        <w:rPr>
          <w:rFonts w:ascii="宋体" w:hAnsi="宋体" w:cs="宋体"/>
          <w:szCs w:val="21"/>
          <w:highlight w:val="none"/>
        </w:rPr>
      </w:pPr>
      <w:r>
        <w:rPr>
          <w:rFonts w:hint="eastAsia" w:ascii="宋体" w:hAnsi="宋体" w:cs="宋体"/>
          <w:szCs w:val="21"/>
          <w:highlight w:val="none"/>
        </w:rPr>
        <w:t>电动执行器的公称转矩、公称推力、堵转转矩应符合GB/T 24923-2010的要求。</w:t>
      </w:r>
    </w:p>
    <w:p w14:paraId="0E4D6A65">
      <w:pPr>
        <w:spacing w:line="480" w:lineRule="exact"/>
        <w:ind w:firstLine="420" w:firstLineChars="200"/>
        <w:rPr>
          <w:rFonts w:ascii="宋体" w:hAnsi="宋体" w:cs="宋体"/>
          <w:szCs w:val="21"/>
          <w:highlight w:val="none"/>
        </w:rPr>
      </w:pPr>
      <w:r>
        <w:rPr>
          <w:rFonts w:hint="eastAsia" w:ascii="宋体" w:hAnsi="宋体" w:cs="宋体"/>
          <w:szCs w:val="21"/>
          <w:highlight w:val="none"/>
        </w:rPr>
        <w:t>2）电动机</w:t>
      </w:r>
    </w:p>
    <w:p w14:paraId="0B0EE8FA">
      <w:pPr>
        <w:spacing w:line="480" w:lineRule="exact"/>
        <w:ind w:firstLine="420" w:firstLineChars="200"/>
        <w:rPr>
          <w:rFonts w:ascii="宋体" w:hAnsi="宋体" w:cs="宋体"/>
          <w:szCs w:val="21"/>
          <w:highlight w:val="none"/>
        </w:rPr>
      </w:pPr>
      <w:r>
        <w:rPr>
          <w:rFonts w:hint="eastAsia" w:ascii="宋体" w:hAnsi="宋体" w:cs="宋体"/>
          <w:szCs w:val="21"/>
          <w:highlight w:val="none"/>
        </w:rPr>
        <w:t>伺服式可逆电机，F级绝缘。平均负荷不能小于阀门最大驱动力的50%。电机的工作制：间歇启动。电机应动态平衡。</w:t>
      </w:r>
    </w:p>
    <w:p w14:paraId="3E8249F0">
      <w:pPr>
        <w:spacing w:line="480" w:lineRule="exact"/>
        <w:ind w:firstLine="420" w:firstLineChars="200"/>
        <w:rPr>
          <w:rFonts w:ascii="宋体" w:hAnsi="宋体" w:cs="宋体"/>
          <w:szCs w:val="21"/>
        </w:rPr>
      </w:pPr>
      <w:r>
        <w:rPr>
          <w:rFonts w:hint="eastAsia" w:ascii="宋体" w:hAnsi="宋体" w:cs="宋体"/>
          <w:szCs w:val="21"/>
        </w:rPr>
        <w:t>3）力矩限制机构/行程控制机构</w:t>
      </w:r>
    </w:p>
    <w:p w14:paraId="54BEDC69">
      <w:pPr>
        <w:spacing w:line="480" w:lineRule="exact"/>
        <w:ind w:firstLine="420" w:firstLineChars="200"/>
        <w:rPr>
          <w:rFonts w:ascii="宋体" w:hAnsi="宋体" w:cs="宋体"/>
          <w:szCs w:val="21"/>
        </w:rPr>
      </w:pPr>
      <w:r>
        <w:rPr>
          <w:rFonts w:hint="eastAsia" w:ascii="宋体" w:hAnsi="宋体" w:cs="宋体"/>
          <w:szCs w:val="21"/>
        </w:rPr>
        <w:t>配置性能可靠全行程保护的力矩限制机构，接电容量为250VAC，1A。</w:t>
      </w:r>
    </w:p>
    <w:p w14:paraId="264643F3">
      <w:pPr>
        <w:spacing w:line="480" w:lineRule="exact"/>
        <w:ind w:firstLine="420" w:firstLineChars="200"/>
        <w:rPr>
          <w:rFonts w:ascii="宋体" w:hAnsi="宋体" w:cs="宋体"/>
          <w:szCs w:val="21"/>
        </w:rPr>
      </w:pPr>
      <w:r>
        <w:rPr>
          <w:rFonts w:hint="eastAsia" w:ascii="宋体" w:hAnsi="宋体" w:cs="宋体"/>
          <w:szCs w:val="21"/>
        </w:rPr>
        <w:t>当安全力矩被超过时，力矩限制机构将切断电机电源。</w:t>
      </w:r>
    </w:p>
    <w:p w14:paraId="79CABDC4">
      <w:pPr>
        <w:spacing w:line="480" w:lineRule="exact"/>
        <w:ind w:firstLine="420" w:firstLineChars="200"/>
        <w:rPr>
          <w:rFonts w:ascii="宋体" w:hAnsi="宋体" w:cs="宋体"/>
          <w:szCs w:val="21"/>
        </w:rPr>
      </w:pPr>
      <w:r>
        <w:rPr>
          <w:rFonts w:hint="eastAsia" w:ascii="宋体" w:hAnsi="宋体" w:cs="宋体"/>
          <w:szCs w:val="21"/>
        </w:rPr>
        <w:t>为了保护阀门不受损坏，安装</w:t>
      </w:r>
      <w:r>
        <w:rPr>
          <w:rFonts w:hint="eastAsia" w:ascii="宋体" w:hAnsi="宋体" w:cs="宋体"/>
          <w:szCs w:val="21"/>
          <w:lang w:eastAsia="zh-CN"/>
        </w:rPr>
        <w:t>在</w:t>
      </w:r>
      <w:r>
        <w:rPr>
          <w:rFonts w:hint="eastAsia" w:ascii="宋体" w:hAnsi="宋体" w:cs="宋体"/>
          <w:szCs w:val="21"/>
        </w:rPr>
        <w:t>阀门行程的终点的限位开关将切断电机电源。接电容量为250VAC，1A。</w:t>
      </w:r>
    </w:p>
    <w:p w14:paraId="33D35DE7">
      <w:pPr>
        <w:spacing w:line="480" w:lineRule="exact"/>
        <w:ind w:firstLine="420" w:firstLineChars="200"/>
        <w:rPr>
          <w:rFonts w:ascii="宋体" w:hAnsi="宋体" w:cs="宋体"/>
          <w:szCs w:val="21"/>
        </w:rPr>
      </w:pPr>
      <w:r>
        <w:rPr>
          <w:rFonts w:hint="eastAsia" w:ascii="宋体" w:hAnsi="宋体" w:cs="宋体"/>
          <w:szCs w:val="21"/>
        </w:rPr>
        <w:t>4）电动执行机构的阀位测量及控制采用非接触式霍尔元件，能够准确测量阀位和控制阀门行程，不得采用模拟电位器；阀位显示为数字量连续指示，开度递增量为1%。</w:t>
      </w:r>
    </w:p>
    <w:p w14:paraId="3FDA6EB2">
      <w:pPr>
        <w:spacing w:line="480" w:lineRule="exact"/>
        <w:ind w:firstLine="420" w:firstLineChars="200"/>
        <w:rPr>
          <w:rFonts w:ascii="宋体" w:hAnsi="宋体" w:cs="宋体"/>
          <w:szCs w:val="21"/>
        </w:rPr>
      </w:pPr>
      <w:r>
        <w:rPr>
          <w:rFonts w:hint="eastAsia" w:ascii="宋体" w:hAnsi="宋体" w:cs="宋体"/>
          <w:szCs w:val="21"/>
        </w:rPr>
        <w:t>5）手-电动切换机构</w:t>
      </w:r>
    </w:p>
    <w:p w14:paraId="00E744EC">
      <w:pPr>
        <w:spacing w:line="480" w:lineRule="exact"/>
        <w:ind w:firstLine="420" w:firstLineChars="200"/>
        <w:rPr>
          <w:rFonts w:ascii="宋体" w:hAnsi="宋体" w:cs="宋体"/>
          <w:szCs w:val="21"/>
        </w:rPr>
      </w:pPr>
      <w:r>
        <w:rPr>
          <w:rFonts w:hint="eastAsia" w:ascii="宋体" w:hAnsi="宋体" w:cs="宋体"/>
          <w:szCs w:val="21"/>
        </w:rPr>
        <w:t>电动执行机构应配有手/自动切换机构，该机构不得与电机输出轴直接相连，确保在低速安全的状态下进行切换；并配有离合装置，在电动操作时手轮不会随时转动。</w:t>
      </w:r>
    </w:p>
    <w:p w14:paraId="7E792FD6">
      <w:pPr>
        <w:spacing w:line="480" w:lineRule="exact"/>
        <w:ind w:firstLine="420" w:firstLineChars="200"/>
        <w:rPr>
          <w:rFonts w:ascii="宋体" w:hAnsi="宋体" w:cs="宋体"/>
          <w:szCs w:val="21"/>
        </w:rPr>
      </w:pPr>
      <w:r>
        <w:rPr>
          <w:rFonts w:hint="eastAsia" w:ascii="宋体" w:hAnsi="宋体" w:cs="宋体"/>
          <w:szCs w:val="21"/>
        </w:rPr>
        <w:t>6）手动驱动装置</w:t>
      </w:r>
    </w:p>
    <w:p w14:paraId="3EF6FF2B">
      <w:pPr>
        <w:spacing w:line="480" w:lineRule="exact"/>
        <w:ind w:firstLine="420" w:firstLineChars="200"/>
        <w:rPr>
          <w:rFonts w:ascii="宋体" w:hAnsi="宋体" w:cs="宋体"/>
          <w:szCs w:val="21"/>
        </w:rPr>
      </w:pPr>
      <w:r>
        <w:rPr>
          <w:rFonts w:hint="eastAsia" w:ascii="宋体" w:hAnsi="宋体" w:cs="宋体"/>
          <w:szCs w:val="21"/>
        </w:rPr>
        <w:t>完全密闭的齿轮传动。手轮上应注明开启和关闭方向。</w:t>
      </w:r>
    </w:p>
    <w:p w14:paraId="52BB2899">
      <w:pPr>
        <w:spacing w:line="480" w:lineRule="exact"/>
        <w:ind w:firstLine="420" w:firstLineChars="200"/>
        <w:rPr>
          <w:rFonts w:ascii="宋体" w:hAnsi="宋体" w:cs="宋体"/>
          <w:szCs w:val="21"/>
        </w:rPr>
      </w:pPr>
      <w:r>
        <w:rPr>
          <w:rFonts w:hint="eastAsia" w:ascii="宋体" w:hAnsi="宋体" w:cs="宋体"/>
          <w:szCs w:val="21"/>
        </w:rPr>
        <w:t>7）开度指示机构</w:t>
      </w:r>
    </w:p>
    <w:p w14:paraId="25FFF73C">
      <w:pPr>
        <w:spacing w:line="480" w:lineRule="exact"/>
        <w:ind w:firstLine="420" w:firstLineChars="200"/>
        <w:rPr>
          <w:rFonts w:ascii="宋体" w:hAnsi="宋体" w:cs="宋体"/>
          <w:szCs w:val="21"/>
        </w:rPr>
      </w:pPr>
      <w:r>
        <w:rPr>
          <w:rFonts w:hint="eastAsia" w:ascii="宋体" w:hAnsi="宋体" w:cs="宋体"/>
          <w:szCs w:val="21"/>
        </w:rPr>
        <w:t>电动执行机构带有背景照明系统液晶显示屏，通过简明的数字、字母及符号显示执行机构状态及故障信息，应为中文菜单，方便人员操作，自带9V电池，在现场断电的情况下仍能显示阀门的状态。开度指示应为1%～99%数字量递增。</w:t>
      </w:r>
    </w:p>
    <w:p w14:paraId="016F1361">
      <w:pPr>
        <w:spacing w:line="480" w:lineRule="exact"/>
        <w:ind w:firstLine="420" w:firstLineChars="200"/>
        <w:rPr>
          <w:rFonts w:ascii="宋体" w:hAnsi="宋体" w:cs="宋体"/>
          <w:szCs w:val="21"/>
        </w:rPr>
      </w:pPr>
      <w:r>
        <w:rPr>
          <w:rFonts w:hint="eastAsia" w:ascii="宋体" w:hAnsi="宋体" w:cs="宋体"/>
          <w:szCs w:val="21"/>
        </w:rPr>
        <w:t>8）控制单元部分</w:t>
      </w:r>
    </w:p>
    <w:p w14:paraId="5FB9D5C6">
      <w:pPr>
        <w:spacing w:line="480" w:lineRule="exact"/>
        <w:ind w:firstLine="420" w:firstLineChars="200"/>
        <w:rPr>
          <w:rFonts w:ascii="宋体" w:hAnsi="宋体" w:cs="宋体"/>
          <w:szCs w:val="21"/>
        </w:rPr>
      </w:pPr>
      <w:r>
        <w:rPr>
          <w:rFonts w:hint="eastAsia" w:ascii="宋体" w:hAnsi="宋体" w:cs="宋体"/>
          <w:szCs w:val="21"/>
        </w:rPr>
        <w:t>电气部分应采用机电一体化控制单元与电动执行器组合到一起，模块化结构。控制单元包括现场操作按钮、指示灯、带锁的选择开关，液晶显示等。阀门的所有设定、操作及调试都可以通过非接触式调节方式完成。</w:t>
      </w:r>
    </w:p>
    <w:p w14:paraId="38395FF7">
      <w:pPr>
        <w:spacing w:line="480" w:lineRule="exact"/>
        <w:ind w:firstLine="420" w:firstLineChars="200"/>
        <w:rPr>
          <w:rFonts w:ascii="宋体" w:hAnsi="宋体" w:cs="宋体"/>
          <w:szCs w:val="21"/>
        </w:rPr>
      </w:pPr>
      <w:r>
        <w:rPr>
          <w:rFonts w:hint="eastAsia" w:ascii="宋体" w:hAnsi="宋体" w:cs="宋体"/>
          <w:szCs w:val="21"/>
        </w:rPr>
        <w:t>电动执行机构应含有内置的控制单元、数据记录器，具有记忆功能，可记录阀门及执行机构的运行情况及设备信息。</w:t>
      </w:r>
    </w:p>
    <w:p w14:paraId="7E59C5BD">
      <w:pPr>
        <w:spacing w:line="480" w:lineRule="exact"/>
        <w:ind w:firstLine="420" w:firstLineChars="200"/>
        <w:rPr>
          <w:rFonts w:ascii="宋体" w:hAnsi="宋体" w:cs="宋体"/>
          <w:szCs w:val="21"/>
        </w:rPr>
      </w:pPr>
      <w:r>
        <w:rPr>
          <w:rFonts w:hint="eastAsia" w:ascii="宋体" w:hAnsi="宋体" w:cs="宋体"/>
          <w:szCs w:val="21"/>
        </w:rPr>
        <w:t xml:space="preserve">电动执行机构需具有可靠完善的保护功能：过力矩保护、综合报警、全开全关报警，其中电机的力矩需通过数字式压力传感器准确测量。 </w:t>
      </w:r>
    </w:p>
    <w:p w14:paraId="4054DA0E">
      <w:pPr>
        <w:spacing w:line="480" w:lineRule="exact"/>
        <w:ind w:firstLine="420" w:firstLineChars="200"/>
        <w:rPr>
          <w:rFonts w:ascii="宋体" w:hAnsi="宋体" w:cs="宋体"/>
          <w:szCs w:val="21"/>
        </w:rPr>
      </w:pPr>
      <w:r>
        <w:rPr>
          <w:rFonts w:hint="eastAsia" w:ascii="宋体" w:hAnsi="宋体" w:cs="宋体"/>
          <w:szCs w:val="21"/>
        </w:rPr>
        <w:t>通过现场控面板可以进行“远方</w:t>
      </w:r>
      <w:r>
        <w:rPr>
          <w:rFonts w:hint="eastAsia" w:ascii="宋体" w:hAnsi="宋体" w:cs="宋体"/>
          <w:szCs w:val="21"/>
          <w:lang w:eastAsia="zh-CN"/>
        </w:rPr>
        <w:t>－</w:t>
      </w:r>
      <w:r>
        <w:rPr>
          <w:rFonts w:hint="eastAsia" w:ascii="宋体" w:hAnsi="宋体" w:cs="宋体"/>
          <w:szCs w:val="21"/>
        </w:rPr>
        <w:t>停机</w:t>
      </w:r>
      <w:r>
        <w:rPr>
          <w:rFonts w:hint="eastAsia" w:ascii="宋体" w:hAnsi="宋体" w:cs="宋体"/>
          <w:szCs w:val="21"/>
          <w:lang w:eastAsia="zh-CN"/>
        </w:rPr>
        <w:t>－</w:t>
      </w:r>
      <w:r>
        <w:rPr>
          <w:rFonts w:hint="eastAsia" w:ascii="宋体" w:hAnsi="宋体" w:cs="宋体"/>
          <w:szCs w:val="21"/>
        </w:rPr>
        <w:t>现场” 的转换，并且有“开</w:t>
      </w:r>
      <w:r>
        <w:rPr>
          <w:rFonts w:hint="eastAsia" w:ascii="宋体" w:hAnsi="宋体" w:cs="宋体"/>
          <w:szCs w:val="21"/>
          <w:lang w:eastAsia="zh-CN"/>
        </w:rPr>
        <w:t>－</w:t>
      </w:r>
      <w:r>
        <w:rPr>
          <w:rFonts w:hint="eastAsia" w:ascii="宋体" w:hAnsi="宋体" w:cs="宋体"/>
          <w:szCs w:val="21"/>
        </w:rPr>
        <w:t>关” 现场操作和全开、全关位置到位指示灯及故障指示灯。控制单元中包括电子计时器，启动和结束步进模式，对于开方向操作和关方向操作的时间分别编程设定。</w:t>
      </w:r>
    </w:p>
    <w:p w14:paraId="77C22EC3">
      <w:pPr>
        <w:spacing w:line="480" w:lineRule="exact"/>
        <w:ind w:firstLine="420" w:firstLineChars="200"/>
        <w:rPr>
          <w:rFonts w:ascii="宋体" w:hAnsi="宋体" w:cs="宋体"/>
          <w:szCs w:val="21"/>
        </w:rPr>
      </w:pPr>
      <w:r>
        <w:rPr>
          <w:rFonts w:hint="eastAsia" w:ascii="宋体" w:hAnsi="宋体" w:cs="宋体"/>
          <w:szCs w:val="21"/>
        </w:rPr>
        <w:t>控制单元安装方向可任意调整。</w:t>
      </w:r>
    </w:p>
    <w:p w14:paraId="585F559A">
      <w:pPr>
        <w:spacing w:line="480" w:lineRule="exact"/>
        <w:ind w:firstLine="420" w:firstLineChars="200"/>
        <w:rPr>
          <w:rFonts w:ascii="宋体" w:hAnsi="宋体" w:cs="宋体"/>
          <w:szCs w:val="21"/>
        </w:rPr>
      </w:pPr>
      <w:r>
        <w:rPr>
          <w:rFonts w:hint="eastAsia" w:ascii="宋体" w:hAnsi="宋体" w:cs="宋体"/>
          <w:szCs w:val="21"/>
        </w:rPr>
        <w:t>9）防护</w:t>
      </w:r>
    </w:p>
    <w:p w14:paraId="0B7C70D9">
      <w:pPr>
        <w:spacing w:line="480" w:lineRule="exact"/>
        <w:ind w:firstLine="420" w:firstLineChars="200"/>
        <w:rPr>
          <w:rFonts w:ascii="宋体" w:hAnsi="宋体" w:cs="宋体"/>
          <w:szCs w:val="21"/>
        </w:rPr>
      </w:pPr>
      <w:r>
        <w:rPr>
          <w:rFonts w:hint="eastAsia" w:ascii="宋体" w:hAnsi="宋体" w:cs="宋体"/>
          <w:szCs w:val="21"/>
        </w:rPr>
        <w:t>电动执行机构防护等级应达到IP68，完全防水防尘，适用于户外、潮湿及水下的工作环境，设备应在-30℃～+70℃环境温度范围内可靠工作。</w:t>
      </w:r>
    </w:p>
    <w:p w14:paraId="2EC9ACA9">
      <w:pPr>
        <w:spacing w:line="480" w:lineRule="exact"/>
        <w:ind w:firstLine="420" w:firstLineChars="200"/>
        <w:rPr>
          <w:rFonts w:ascii="宋体" w:hAnsi="宋体" w:cs="宋体"/>
          <w:szCs w:val="21"/>
        </w:rPr>
      </w:pPr>
      <w:r>
        <w:rPr>
          <w:rFonts w:hint="eastAsia" w:ascii="宋体" w:hAnsi="宋体" w:cs="宋体"/>
          <w:szCs w:val="21"/>
        </w:rPr>
        <w:t>电动执行机构具有完全非侵入式设计，可通过具有红外功能的手操器进行设定，不需要打开机壳，通过手操器就可对电动执行机构进行参数整定和就地操作。且该手操器应</w:t>
      </w:r>
      <w:r>
        <w:rPr>
          <w:rFonts w:hint="eastAsia" w:ascii="宋体" w:hAnsi="宋体" w:cs="宋体"/>
          <w:szCs w:val="21"/>
          <w:lang w:eastAsia="zh-CN"/>
        </w:rPr>
        <w:t>具备</w:t>
      </w:r>
      <w:r>
        <w:rPr>
          <w:rFonts w:hint="eastAsia" w:ascii="宋体" w:hAnsi="宋体" w:cs="宋体"/>
          <w:szCs w:val="21"/>
        </w:rPr>
        <w:t>数据下载功能，可将下载数据上传至PC机或PDA等掌上电脑进行数据分析。</w:t>
      </w:r>
    </w:p>
    <w:p w14:paraId="5C354DCE">
      <w:pPr>
        <w:spacing w:line="480" w:lineRule="exact"/>
        <w:ind w:firstLine="420" w:firstLineChars="200"/>
        <w:rPr>
          <w:rFonts w:ascii="宋体" w:hAnsi="宋体" w:cs="宋体"/>
          <w:szCs w:val="21"/>
        </w:rPr>
      </w:pPr>
      <w:r>
        <w:rPr>
          <w:rFonts w:hint="eastAsia" w:ascii="宋体" w:hAnsi="宋体" w:cs="宋体"/>
          <w:szCs w:val="21"/>
        </w:rPr>
        <w:t>2.1.8  蝶板（阀板）</w:t>
      </w:r>
    </w:p>
    <w:p w14:paraId="693C0651">
      <w:pPr>
        <w:spacing w:line="480" w:lineRule="exact"/>
        <w:ind w:firstLine="420" w:firstLineChars="200"/>
        <w:rPr>
          <w:rFonts w:ascii="宋体" w:hAnsi="宋体" w:cs="宋体"/>
          <w:szCs w:val="21"/>
        </w:rPr>
      </w:pPr>
      <w:r>
        <w:rPr>
          <w:rFonts w:hint="eastAsia" w:ascii="宋体" w:hAnsi="宋体" w:cs="宋体"/>
          <w:szCs w:val="21"/>
        </w:rPr>
        <w:t>（1）阀板材料要求采用球墨铸铁（QT450-10或力学性能更高的材料）。</w:t>
      </w:r>
    </w:p>
    <w:p w14:paraId="30FF2DE9">
      <w:pPr>
        <w:spacing w:line="480" w:lineRule="exact"/>
        <w:ind w:firstLine="420" w:firstLineChars="200"/>
        <w:rPr>
          <w:rFonts w:ascii="宋体" w:hAnsi="宋体" w:cs="宋体"/>
          <w:szCs w:val="21"/>
        </w:rPr>
      </w:pPr>
      <w:r>
        <w:rPr>
          <w:rFonts w:hint="eastAsia" w:ascii="宋体" w:hAnsi="宋体" w:cs="宋体"/>
          <w:szCs w:val="21"/>
        </w:rPr>
        <w:t>（2）阀板的结构设计要求双平桁架流通式、流阻小；阀门开启时，阻力系数不大于0.3。</w:t>
      </w:r>
    </w:p>
    <w:p w14:paraId="1905456F">
      <w:pPr>
        <w:spacing w:line="480" w:lineRule="exact"/>
        <w:ind w:firstLine="420" w:firstLineChars="200"/>
        <w:rPr>
          <w:rFonts w:ascii="宋体" w:hAnsi="宋体" w:cs="宋体"/>
          <w:szCs w:val="21"/>
        </w:rPr>
      </w:pPr>
      <w:r>
        <w:rPr>
          <w:rFonts w:hint="eastAsia" w:ascii="宋体" w:hAnsi="宋体" w:cs="宋体"/>
          <w:szCs w:val="21"/>
        </w:rPr>
        <w:t>（3）蝶板的设计应力应能承受作用在蝶阀（关闭状态）上的1.5倍最大压差的负荷。</w:t>
      </w:r>
    </w:p>
    <w:p w14:paraId="32BCEA4F">
      <w:pPr>
        <w:spacing w:line="480" w:lineRule="exact"/>
        <w:ind w:firstLine="420" w:firstLineChars="200"/>
        <w:rPr>
          <w:rFonts w:ascii="宋体" w:hAnsi="宋体" w:cs="宋体"/>
          <w:szCs w:val="21"/>
        </w:rPr>
      </w:pPr>
      <w:r>
        <w:rPr>
          <w:rFonts w:hint="eastAsia" w:ascii="宋体" w:hAnsi="宋体" w:cs="宋体"/>
          <w:szCs w:val="21"/>
        </w:rPr>
        <w:t>2.1.9  阀轴（阀杆）</w:t>
      </w:r>
    </w:p>
    <w:p w14:paraId="059CCE30">
      <w:pPr>
        <w:spacing w:line="480" w:lineRule="exact"/>
        <w:ind w:firstLine="420" w:firstLineChars="200"/>
        <w:rPr>
          <w:rFonts w:ascii="宋体" w:hAnsi="宋体" w:cs="宋体"/>
          <w:szCs w:val="21"/>
        </w:rPr>
      </w:pPr>
      <w:r>
        <w:rPr>
          <w:rFonts w:hint="eastAsia" w:ascii="宋体" w:hAnsi="宋体" w:cs="宋体"/>
          <w:szCs w:val="21"/>
        </w:rPr>
        <w:t>（1）阀轴设计成介质从任意方向流经蝶阀板时，都能承受介质作用在阀板上的最大压差1.2倍的荷载。</w:t>
      </w:r>
    </w:p>
    <w:p w14:paraId="2C42ECAB">
      <w:pPr>
        <w:spacing w:line="480" w:lineRule="exact"/>
        <w:ind w:firstLine="420" w:firstLineChars="200"/>
        <w:rPr>
          <w:rFonts w:ascii="宋体" w:hAnsi="宋体" w:cs="宋体"/>
          <w:szCs w:val="21"/>
        </w:rPr>
      </w:pPr>
      <w:r>
        <w:rPr>
          <w:rFonts w:hint="eastAsia" w:ascii="宋体" w:hAnsi="宋体" w:cs="宋体"/>
          <w:szCs w:val="21"/>
        </w:rPr>
        <w:t>（2）阀杆可以设计成一个整体轴，也可以设计成两个分离的短轴，其嵌入轴孔的长度不小于轴径的1.5倍。</w:t>
      </w:r>
    </w:p>
    <w:p w14:paraId="01D3E5CB">
      <w:pPr>
        <w:spacing w:line="480" w:lineRule="exact"/>
        <w:ind w:firstLine="420" w:firstLineChars="200"/>
        <w:rPr>
          <w:rFonts w:ascii="宋体" w:hAnsi="宋体" w:cs="宋体"/>
          <w:szCs w:val="21"/>
        </w:rPr>
      </w:pPr>
      <w:r>
        <w:rPr>
          <w:rFonts w:hint="eastAsia" w:ascii="宋体" w:hAnsi="宋体" w:cs="宋体"/>
          <w:szCs w:val="21"/>
        </w:rPr>
        <w:t>（3）阀轴材料采用不锈钢2Cr13。</w:t>
      </w:r>
    </w:p>
    <w:p w14:paraId="208027F6">
      <w:pPr>
        <w:spacing w:line="480" w:lineRule="exact"/>
        <w:ind w:firstLine="420" w:firstLineChars="200"/>
        <w:rPr>
          <w:rFonts w:ascii="宋体" w:hAnsi="宋体" w:cs="宋体"/>
          <w:szCs w:val="21"/>
        </w:rPr>
      </w:pPr>
      <w:r>
        <w:rPr>
          <w:rFonts w:hint="eastAsia" w:ascii="宋体" w:hAnsi="宋体" w:cs="宋体"/>
          <w:szCs w:val="21"/>
        </w:rPr>
        <w:t>（4）阀轴轴承采用钢基聚甲醛复合自润滑轴承，轴承材料应具有耐磨、耐蚀性能、无油自润滑、摩擦系数小、使用寿命长等特点。在任何条件下与不锈钢阀轴摩擦系数不超过0.05。</w:t>
      </w:r>
    </w:p>
    <w:p w14:paraId="62C26B1D">
      <w:pPr>
        <w:spacing w:line="480" w:lineRule="exact"/>
        <w:ind w:firstLine="420" w:firstLineChars="200"/>
        <w:rPr>
          <w:rFonts w:ascii="宋体" w:hAnsi="宋体" w:cs="宋体"/>
          <w:szCs w:val="21"/>
        </w:rPr>
      </w:pPr>
      <w:r>
        <w:rPr>
          <w:rFonts w:hint="eastAsia" w:ascii="宋体" w:hAnsi="宋体" w:cs="宋体"/>
          <w:szCs w:val="21"/>
        </w:rPr>
        <w:t>（5）阀门轴端与驱动装置的连接执行GB/T 12223-2005标准。</w:t>
      </w:r>
    </w:p>
    <w:p w14:paraId="62C5919A">
      <w:pPr>
        <w:spacing w:line="480" w:lineRule="exact"/>
        <w:ind w:firstLine="420" w:firstLineChars="200"/>
        <w:rPr>
          <w:rFonts w:ascii="宋体" w:hAnsi="宋体" w:cs="宋体"/>
          <w:szCs w:val="21"/>
        </w:rPr>
      </w:pPr>
      <w:r>
        <w:rPr>
          <w:rFonts w:hint="eastAsia" w:ascii="宋体" w:hAnsi="宋体" w:cs="宋体"/>
          <w:szCs w:val="21"/>
        </w:rPr>
        <w:t>2.1.10  阀轴与阀板</w:t>
      </w:r>
      <w:r>
        <w:rPr>
          <w:rFonts w:hint="eastAsia" w:ascii="宋体" w:hAnsi="宋体" w:cs="宋体"/>
          <w:szCs w:val="21"/>
          <w:lang w:eastAsia="zh-CN"/>
        </w:rPr>
        <w:t>的联结</w:t>
      </w:r>
    </w:p>
    <w:p w14:paraId="2A99393D">
      <w:pPr>
        <w:spacing w:line="480" w:lineRule="exact"/>
        <w:ind w:firstLine="420" w:firstLineChars="200"/>
        <w:rPr>
          <w:rFonts w:ascii="宋体" w:hAnsi="宋体" w:cs="宋体"/>
          <w:szCs w:val="21"/>
        </w:rPr>
      </w:pPr>
      <w:r>
        <w:rPr>
          <w:rFonts w:hint="eastAsia" w:ascii="宋体" w:hAnsi="宋体" w:cs="宋体"/>
          <w:szCs w:val="21"/>
        </w:rPr>
        <w:t>阀轴与阀板的连结，应能满足传递相当于最小轴径扭转强度的转矩要求，连接件须为不锈钢。阀轴与阀板</w:t>
      </w:r>
      <w:r>
        <w:rPr>
          <w:rFonts w:hint="eastAsia" w:ascii="宋体" w:hAnsi="宋体" w:cs="宋体"/>
          <w:szCs w:val="21"/>
          <w:lang w:eastAsia="zh-CN"/>
        </w:rPr>
        <w:t>的连接</w:t>
      </w:r>
      <w:r>
        <w:rPr>
          <w:rFonts w:hint="eastAsia" w:ascii="宋体" w:hAnsi="宋体" w:cs="宋体"/>
          <w:szCs w:val="21"/>
        </w:rPr>
        <w:t>采用偏心销结构，设计除了使零件可互换外并可将阀</w:t>
      </w:r>
      <w:r>
        <w:rPr>
          <w:rFonts w:hint="eastAsia" w:ascii="宋体" w:hAnsi="宋体" w:cs="宋体"/>
          <w:szCs w:val="21"/>
          <w:lang w:eastAsia="zh-CN"/>
        </w:rPr>
        <w:t>轴与</w:t>
      </w:r>
      <w:r>
        <w:rPr>
          <w:rFonts w:hint="eastAsia" w:ascii="宋体" w:hAnsi="宋体" w:cs="宋体"/>
          <w:szCs w:val="21"/>
        </w:rPr>
        <w:t>阀板</w:t>
      </w:r>
      <w:r>
        <w:rPr>
          <w:rFonts w:hint="eastAsia" w:ascii="宋体" w:hAnsi="宋体" w:cs="宋体"/>
          <w:szCs w:val="21"/>
          <w:lang w:eastAsia="zh-CN"/>
        </w:rPr>
        <w:t>紧密结合</w:t>
      </w:r>
      <w:r>
        <w:rPr>
          <w:rFonts w:hint="eastAsia" w:ascii="宋体" w:hAnsi="宋体" w:cs="宋体"/>
          <w:szCs w:val="21"/>
        </w:rPr>
        <w:t>在一起无间隙，不松动，并外加防震螺栓来加强固定，</w:t>
      </w:r>
      <w:r>
        <w:rPr>
          <w:rFonts w:hint="eastAsia" w:ascii="宋体" w:hAnsi="宋体" w:cs="宋体"/>
          <w:szCs w:val="21"/>
          <w:lang w:eastAsia="zh-CN"/>
        </w:rPr>
        <w:t>连接</w:t>
      </w:r>
      <w:r>
        <w:rPr>
          <w:rFonts w:hint="eastAsia" w:ascii="宋体" w:hAnsi="宋体" w:cs="宋体"/>
          <w:szCs w:val="21"/>
        </w:rPr>
        <w:t>牢固可靠，保证了蝶阀在开启和关闭操作时阀轴的足够强度。偏心退拔销的材质是1Cr17Ni9不锈钢。轴与阀板应紧密装配，保证在开启和关闭操作中不产生虚位。</w:t>
      </w:r>
    </w:p>
    <w:p w14:paraId="757EC068">
      <w:pPr>
        <w:spacing w:line="480" w:lineRule="exact"/>
        <w:ind w:firstLine="420" w:firstLineChars="200"/>
        <w:rPr>
          <w:rFonts w:ascii="宋体" w:hAnsi="宋体" w:cs="宋体"/>
          <w:szCs w:val="21"/>
        </w:rPr>
      </w:pPr>
      <w:r>
        <w:rPr>
          <w:rFonts w:hint="eastAsia" w:ascii="宋体" w:hAnsi="宋体" w:cs="宋体"/>
          <w:szCs w:val="21"/>
        </w:rPr>
        <w:t>2.1.11  阀门传动机构</w:t>
      </w:r>
    </w:p>
    <w:p w14:paraId="779F50FD">
      <w:pPr>
        <w:spacing w:line="480" w:lineRule="exact"/>
        <w:ind w:firstLine="420" w:firstLineChars="200"/>
        <w:rPr>
          <w:rFonts w:ascii="宋体" w:hAnsi="宋体" w:cs="宋体"/>
          <w:szCs w:val="21"/>
        </w:rPr>
      </w:pPr>
      <w:r>
        <w:rPr>
          <w:rFonts w:hint="eastAsia" w:ascii="宋体" w:hAnsi="宋体" w:cs="宋体"/>
          <w:szCs w:val="21"/>
        </w:rPr>
        <w:t>（1）阀门的传动机构要有足够的刚度，能承受所需的力矩，保证阀板在开启或关闭时的稳定性，以及保证使阀板能稳定地停留在任意开度位置。传动机构外壳的材质与阀体一致。</w:t>
      </w:r>
    </w:p>
    <w:p w14:paraId="5A82366B">
      <w:pPr>
        <w:spacing w:line="480" w:lineRule="exact"/>
        <w:ind w:firstLine="420" w:firstLineChars="200"/>
        <w:rPr>
          <w:rFonts w:ascii="宋体" w:hAnsi="宋体" w:cs="宋体"/>
          <w:szCs w:val="21"/>
        </w:rPr>
      </w:pPr>
      <w:r>
        <w:rPr>
          <w:rFonts w:hint="eastAsia" w:ascii="宋体" w:hAnsi="宋体" w:cs="宋体"/>
          <w:szCs w:val="21"/>
        </w:rPr>
        <w:t>（2）要保证二级传动箱内各零件的加工精度和装配精度，保证蜗轮蜗杆的自锁功能。</w:t>
      </w:r>
    </w:p>
    <w:p w14:paraId="5EA484C6">
      <w:pPr>
        <w:spacing w:line="480" w:lineRule="exact"/>
        <w:ind w:firstLine="420" w:firstLineChars="200"/>
        <w:rPr>
          <w:rFonts w:ascii="宋体" w:hAnsi="宋体" w:cs="宋体"/>
          <w:szCs w:val="21"/>
        </w:rPr>
      </w:pPr>
      <w:r>
        <w:rPr>
          <w:rFonts w:hint="eastAsia" w:ascii="宋体" w:hAnsi="宋体" w:cs="宋体"/>
          <w:szCs w:val="21"/>
        </w:rPr>
        <w:t>（3）所有传动机构的受力部件应能经受2倍的额定力矩而无任何损伤。</w:t>
      </w:r>
    </w:p>
    <w:p w14:paraId="3D3C7F61">
      <w:pPr>
        <w:spacing w:line="480" w:lineRule="exact"/>
        <w:ind w:firstLine="420" w:firstLineChars="200"/>
        <w:rPr>
          <w:rFonts w:ascii="宋体" w:hAnsi="宋体" w:cs="宋体"/>
          <w:szCs w:val="21"/>
        </w:rPr>
      </w:pPr>
      <w:r>
        <w:rPr>
          <w:rFonts w:hint="eastAsia" w:ascii="宋体" w:hAnsi="宋体" w:cs="宋体"/>
          <w:szCs w:val="21"/>
        </w:rPr>
        <w:t>（4）传动箱要求密封可靠。</w:t>
      </w:r>
    </w:p>
    <w:p w14:paraId="6284618B">
      <w:pPr>
        <w:spacing w:line="480" w:lineRule="exact"/>
        <w:ind w:firstLine="420" w:firstLineChars="200"/>
        <w:rPr>
          <w:rFonts w:ascii="宋体" w:hAnsi="宋体" w:cs="宋体"/>
          <w:szCs w:val="21"/>
        </w:rPr>
      </w:pPr>
      <w:r>
        <w:rPr>
          <w:rFonts w:hint="eastAsia" w:ascii="宋体" w:hAnsi="宋体" w:cs="宋体"/>
          <w:szCs w:val="21"/>
        </w:rPr>
        <w:t>（5）所有蝶阀都应装配开启和关闭的限位装置，并且应设置水平和垂直双方向的启闭指示器。</w:t>
      </w:r>
    </w:p>
    <w:p w14:paraId="139C4886">
      <w:pPr>
        <w:spacing w:line="480" w:lineRule="exact"/>
        <w:ind w:firstLine="420" w:firstLineChars="200"/>
        <w:rPr>
          <w:rFonts w:ascii="宋体" w:hAnsi="宋体" w:cs="宋体"/>
          <w:szCs w:val="21"/>
        </w:rPr>
      </w:pPr>
      <w:r>
        <w:rPr>
          <w:rFonts w:hint="eastAsia" w:ascii="宋体" w:hAnsi="宋体" w:cs="宋体"/>
          <w:szCs w:val="21"/>
        </w:rPr>
        <w:t>（6）连接开关方头采用铸钢或力学性能更高的韧性材料，为可卸式结构，操作方向顺时针为关闭，逆时针为开启。在方头下部设置锁定螺钉与阀门传动杆锁定，方头不会在阀门的正常操作时发生脱落。方头的表面应是光滑的，不得有毛刺、结瘤、凹坑等表面质量缺陷。</w:t>
      </w:r>
    </w:p>
    <w:p w14:paraId="59A57B0F">
      <w:pPr>
        <w:spacing w:line="480" w:lineRule="exact"/>
        <w:ind w:firstLine="420" w:firstLineChars="200"/>
        <w:rPr>
          <w:rFonts w:ascii="宋体" w:hAnsi="宋体" w:cs="宋体"/>
          <w:szCs w:val="21"/>
        </w:rPr>
      </w:pPr>
      <w:r>
        <w:rPr>
          <w:rFonts w:hint="eastAsia" w:ascii="宋体" w:hAnsi="宋体" w:cs="宋体"/>
          <w:szCs w:val="21"/>
        </w:rPr>
        <w:t>（7）在额定压力下人工操作手轮开启或关闭阀的最大作用力不大于300N。</w:t>
      </w:r>
    </w:p>
    <w:p w14:paraId="4DA2C6B4">
      <w:pPr>
        <w:spacing w:line="480" w:lineRule="exact"/>
        <w:ind w:firstLine="420" w:firstLineChars="200"/>
        <w:rPr>
          <w:rFonts w:ascii="宋体" w:hAnsi="宋体" w:cs="宋体"/>
          <w:szCs w:val="21"/>
        </w:rPr>
      </w:pPr>
      <w:r>
        <w:rPr>
          <w:rFonts w:hint="eastAsia" w:ascii="宋体" w:hAnsi="宋体" w:cs="宋体"/>
          <w:szCs w:val="21"/>
        </w:rPr>
        <w:t>（8）传动箱限位的调节螺钉材质用2Cr13并调质处理。</w:t>
      </w:r>
    </w:p>
    <w:p w14:paraId="539108BC">
      <w:pPr>
        <w:spacing w:line="480" w:lineRule="exact"/>
        <w:ind w:firstLine="420" w:firstLineChars="200"/>
        <w:rPr>
          <w:rFonts w:ascii="宋体" w:hAnsi="宋体" w:cs="宋体"/>
          <w:szCs w:val="21"/>
        </w:rPr>
      </w:pPr>
      <w:r>
        <w:rPr>
          <w:rFonts w:hint="eastAsia" w:ascii="宋体" w:hAnsi="宋体" w:cs="宋体"/>
          <w:szCs w:val="21"/>
        </w:rPr>
        <w:t>（9）并要求按每一个规格的阀门开关转数提供作为一个技术资料。</w:t>
      </w:r>
    </w:p>
    <w:p w14:paraId="0B6FFC3C">
      <w:pPr>
        <w:spacing w:line="480" w:lineRule="exact"/>
        <w:ind w:firstLine="420" w:firstLineChars="200"/>
        <w:rPr>
          <w:rFonts w:ascii="宋体" w:hAnsi="宋体" w:cs="宋体"/>
          <w:szCs w:val="21"/>
        </w:rPr>
      </w:pPr>
      <w:r>
        <w:rPr>
          <w:rFonts w:hint="eastAsia" w:ascii="宋体" w:hAnsi="宋体" w:cs="宋体"/>
          <w:szCs w:val="21"/>
        </w:rPr>
        <w:t>2.1.12  密封</w:t>
      </w:r>
    </w:p>
    <w:p w14:paraId="27704DB7">
      <w:pPr>
        <w:spacing w:line="480" w:lineRule="exact"/>
        <w:ind w:firstLine="420" w:firstLineChars="200"/>
        <w:rPr>
          <w:rFonts w:ascii="宋体" w:hAnsi="宋体" w:cs="宋体"/>
          <w:szCs w:val="21"/>
        </w:rPr>
      </w:pPr>
      <w:r>
        <w:rPr>
          <w:rFonts w:hint="eastAsia" w:ascii="宋体" w:hAnsi="宋体" w:cs="宋体"/>
          <w:szCs w:val="21"/>
        </w:rPr>
        <w:t xml:space="preserve">（1）阀板与阀体之间的密封 </w:t>
      </w:r>
    </w:p>
    <w:p w14:paraId="70568243">
      <w:pPr>
        <w:spacing w:line="480" w:lineRule="exact"/>
        <w:ind w:firstLine="420" w:firstLineChars="200"/>
        <w:rPr>
          <w:rFonts w:ascii="宋体" w:hAnsi="宋体" w:cs="宋体"/>
          <w:szCs w:val="21"/>
        </w:rPr>
      </w:pPr>
      <w:r>
        <w:rPr>
          <w:rFonts w:hint="eastAsia" w:ascii="宋体" w:hAnsi="宋体" w:cs="宋体"/>
          <w:szCs w:val="21"/>
        </w:rPr>
        <w:t>1）密封圈的设计制造必须保证在阀板关闭时，双向均能承压（提供试压压力、结构示意图与省级或以上级别技术监督局认可证明）。阀板与阀体之间的密封采用软密封。阀体或阀板与橡胶密封圈接触的</w:t>
      </w:r>
      <w:r>
        <w:rPr>
          <w:rFonts w:hint="eastAsia" w:ascii="宋体" w:hAnsi="宋体" w:cs="宋体"/>
          <w:szCs w:val="21"/>
          <w:lang w:eastAsia="zh-CN"/>
        </w:rPr>
        <w:t>部分</w:t>
      </w:r>
      <w:r>
        <w:rPr>
          <w:rFonts w:hint="eastAsia" w:ascii="宋体" w:hAnsi="宋体" w:cs="宋体"/>
          <w:szCs w:val="21"/>
        </w:rPr>
        <w:t>为镶不锈钢圈或焊不锈钢圈后加工成型。材质采用0Cr18Ni9Ti。</w:t>
      </w:r>
      <w:r>
        <w:rPr>
          <w:rFonts w:hint="eastAsia" w:ascii="宋体" w:hAnsi="宋体" w:cs="宋体"/>
          <w:szCs w:val="21"/>
          <w:lang w:eastAsia="zh-CN"/>
        </w:rPr>
        <w:t>橡</w:t>
      </w:r>
      <w:r>
        <w:rPr>
          <w:rFonts w:hint="eastAsia" w:ascii="宋体" w:hAnsi="宋体" w:cs="宋体"/>
          <w:szCs w:val="21"/>
        </w:rPr>
        <w:t>胶密封圈采用三元乙丙烯聚合橡胶（EPDM）或</w:t>
      </w:r>
      <w:r>
        <w:rPr>
          <w:rFonts w:hint="eastAsia" w:ascii="宋体" w:hAnsi="宋体" w:cs="宋体"/>
          <w:szCs w:val="21"/>
          <w:lang w:eastAsia="zh-CN"/>
        </w:rPr>
        <w:t>丁腈橡胶</w:t>
      </w:r>
      <w:r>
        <w:rPr>
          <w:rFonts w:hint="eastAsia" w:ascii="宋体" w:hAnsi="宋体" w:cs="宋体"/>
          <w:szCs w:val="21"/>
        </w:rPr>
        <w:t>（NBR），橡胶圈必须整体成型，并符合有关规定要求。其密封试验应按相应的国家标准要求执行。</w:t>
      </w:r>
    </w:p>
    <w:p w14:paraId="328241D3">
      <w:pPr>
        <w:spacing w:line="480" w:lineRule="exact"/>
        <w:ind w:firstLine="420" w:firstLineChars="200"/>
        <w:rPr>
          <w:rFonts w:ascii="宋体" w:hAnsi="宋体" w:cs="宋体"/>
          <w:szCs w:val="21"/>
        </w:rPr>
      </w:pPr>
      <w:r>
        <w:rPr>
          <w:rFonts w:hint="eastAsia" w:ascii="宋体" w:hAnsi="宋体" w:cs="宋体"/>
          <w:szCs w:val="21"/>
        </w:rPr>
        <w:t>2）阀板上橡胶密封圈三元乙丙烯聚合橡胶（EPDM）采用自密封的原理，橡胶密封圈直接以锯齿状嵌入阀板固定，且阀板上留有呼吸槽使橡胶在长久关闭情况下</w:t>
      </w:r>
      <w:r>
        <w:rPr>
          <w:rFonts w:hint="eastAsia" w:ascii="宋体" w:hAnsi="宋体" w:cs="宋体"/>
          <w:szCs w:val="21"/>
          <w:lang w:eastAsia="zh-CN"/>
        </w:rPr>
        <w:t>不至于</w:t>
      </w:r>
      <w:r>
        <w:rPr>
          <w:rFonts w:hint="eastAsia" w:ascii="宋体" w:hAnsi="宋体" w:cs="宋体"/>
          <w:szCs w:val="21"/>
        </w:rPr>
        <w:t>产生弹性疲劳，不能采用压圈及螺栓紧固的结构。保证密封圈的牢固性，使用中不脱落。易于更换密封圈，有可靠的防松措施。</w:t>
      </w:r>
    </w:p>
    <w:p w14:paraId="16410E85">
      <w:pPr>
        <w:spacing w:line="480" w:lineRule="exact"/>
        <w:ind w:firstLine="420" w:firstLineChars="200"/>
        <w:rPr>
          <w:rFonts w:ascii="宋体" w:hAnsi="宋体" w:cs="宋体"/>
          <w:szCs w:val="21"/>
        </w:rPr>
      </w:pPr>
      <w:r>
        <w:rPr>
          <w:rFonts w:hint="eastAsia" w:ascii="宋体" w:hAnsi="宋体" w:cs="宋体"/>
          <w:szCs w:val="21"/>
        </w:rPr>
        <w:t>（2）阀轴的密封</w:t>
      </w:r>
    </w:p>
    <w:p w14:paraId="41AB2C70">
      <w:pPr>
        <w:spacing w:line="480" w:lineRule="exact"/>
        <w:ind w:firstLine="420" w:firstLineChars="200"/>
        <w:rPr>
          <w:rFonts w:ascii="宋体" w:hAnsi="宋体" w:cs="宋体"/>
          <w:szCs w:val="21"/>
        </w:rPr>
      </w:pPr>
      <w:r>
        <w:rPr>
          <w:rFonts w:hint="eastAsia" w:ascii="宋体" w:hAnsi="宋体" w:cs="宋体"/>
          <w:szCs w:val="21"/>
        </w:rPr>
        <w:t>阀轴的密封选择可靠、耐久的轴封材料和形式，密封填料采用浸聚四氟乙烯的碳素纤维填料密封材料。在更换填料时，不拆除阀体及操作机构的任何部件。填料函的深度根据轴封形式确定。在阀体通道附近设有O形圈，以防泥沙进入轴承。</w:t>
      </w:r>
    </w:p>
    <w:p w14:paraId="32C3B10A">
      <w:pPr>
        <w:spacing w:line="480" w:lineRule="exact"/>
        <w:ind w:firstLine="420" w:firstLineChars="200"/>
        <w:rPr>
          <w:rFonts w:ascii="宋体" w:hAnsi="宋体" w:cs="宋体"/>
          <w:szCs w:val="21"/>
        </w:rPr>
      </w:pPr>
      <w:r>
        <w:rPr>
          <w:rFonts w:hint="eastAsia" w:ascii="宋体" w:hAnsi="宋体" w:cs="宋体"/>
          <w:szCs w:val="21"/>
        </w:rPr>
        <w:t>2.1.13  其他技术要求</w:t>
      </w:r>
    </w:p>
    <w:p w14:paraId="0CA0E4B6">
      <w:pPr>
        <w:spacing w:line="480" w:lineRule="exact"/>
        <w:ind w:firstLine="420" w:firstLineChars="200"/>
        <w:rPr>
          <w:rFonts w:ascii="宋体" w:hAnsi="宋体" w:cs="宋体"/>
          <w:szCs w:val="21"/>
        </w:rPr>
      </w:pPr>
      <w:r>
        <w:rPr>
          <w:rFonts w:hint="eastAsia" w:ascii="宋体" w:hAnsi="宋体" w:cs="宋体"/>
          <w:szCs w:val="21"/>
        </w:rPr>
        <w:t>（1）密封橡胶的性能要求</w:t>
      </w:r>
    </w:p>
    <w:p w14:paraId="014F1A18">
      <w:pPr>
        <w:spacing w:line="480" w:lineRule="exact"/>
        <w:ind w:firstLine="420" w:firstLineChars="200"/>
        <w:rPr>
          <w:rFonts w:ascii="宋体" w:hAnsi="宋体" w:cs="宋体"/>
          <w:szCs w:val="21"/>
        </w:rPr>
      </w:pPr>
      <w:r>
        <w:rPr>
          <w:rFonts w:hint="eastAsia" w:ascii="宋体" w:hAnsi="宋体" w:cs="宋体"/>
          <w:szCs w:val="21"/>
        </w:rPr>
        <w:t>1）阀门采用的所有橡胶材料应具有良好的耐磨性，抗腐蚀性，抗冲击性、抗</w:t>
      </w:r>
      <w:r>
        <w:rPr>
          <w:rFonts w:hint="eastAsia" w:ascii="宋体" w:hAnsi="宋体" w:cs="宋体"/>
          <w:szCs w:val="21"/>
          <w:lang w:eastAsia="zh-CN"/>
        </w:rPr>
        <w:t>臭氧</w:t>
      </w:r>
      <w:r>
        <w:rPr>
          <w:rFonts w:hint="eastAsia" w:ascii="宋体" w:hAnsi="宋体" w:cs="宋体"/>
          <w:szCs w:val="21"/>
        </w:rPr>
        <w:t>、抗微生物侵蚀及抗老化等性能，正常使用寿命不少于20年。严禁采用再生橡胶。</w:t>
      </w:r>
    </w:p>
    <w:p w14:paraId="32CEB9FA">
      <w:pPr>
        <w:spacing w:line="480" w:lineRule="exact"/>
        <w:ind w:firstLine="420" w:firstLineChars="200"/>
        <w:rPr>
          <w:rFonts w:ascii="宋体" w:hAnsi="宋体" w:cs="宋体"/>
          <w:szCs w:val="21"/>
        </w:rPr>
      </w:pPr>
      <w:r>
        <w:rPr>
          <w:rFonts w:hint="eastAsia" w:ascii="宋体" w:hAnsi="宋体" w:cs="宋体"/>
          <w:szCs w:val="21"/>
        </w:rPr>
        <w:t>2）橡胶成分中，应不含植物油、植物油衍生物、动物脂和动物油，铜离子含量不应超过百万分之八，并且应含有铜的抑制剂，以防止铜使橡胶材质老化。橡胶成分中，每100个单位烃中含蜡量不应超过1.5%。</w:t>
      </w:r>
    </w:p>
    <w:p w14:paraId="574BE81A">
      <w:pPr>
        <w:spacing w:line="480" w:lineRule="exact"/>
        <w:ind w:firstLine="420" w:firstLineChars="200"/>
        <w:rPr>
          <w:rFonts w:ascii="宋体" w:hAnsi="宋体" w:cs="宋体"/>
          <w:szCs w:val="21"/>
        </w:rPr>
      </w:pPr>
      <w:r>
        <w:rPr>
          <w:rFonts w:hint="eastAsia" w:ascii="宋体" w:hAnsi="宋体" w:cs="宋体"/>
          <w:szCs w:val="21"/>
        </w:rPr>
        <w:t>3）运至现场的密封圈不得有任何损坏现象，并且在阀门安装、使用过程中不得有松动，脱落、渗漏现象。</w:t>
      </w:r>
    </w:p>
    <w:p w14:paraId="3CFDA055">
      <w:pPr>
        <w:spacing w:line="480" w:lineRule="exact"/>
        <w:ind w:firstLine="420" w:firstLineChars="200"/>
        <w:rPr>
          <w:rFonts w:ascii="宋体" w:hAnsi="宋体" w:cs="宋体"/>
          <w:szCs w:val="21"/>
        </w:rPr>
      </w:pPr>
      <w:r>
        <w:rPr>
          <w:rFonts w:hint="eastAsia" w:ascii="宋体" w:hAnsi="宋体" w:cs="宋体"/>
          <w:szCs w:val="21"/>
        </w:rPr>
        <w:t>（2）螺柱、螺栓、螺母采用低合金钢制造，性能不低于8.8级，镀锌钝化。</w:t>
      </w:r>
    </w:p>
    <w:p w14:paraId="28FE2B27">
      <w:pPr>
        <w:spacing w:line="480" w:lineRule="exact"/>
        <w:ind w:firstLine="420" w:firstLineChars="200"/>
        <w:rPr>
          <w:rFonts w:ascii="宋体" w:hAnsi="宋体" w:cs="宋体"/>
          <w:szCs w:val="21"/>
        </w:rPr>
      </w:pPr>
      <w:r>
        <w:rPr>
          <w:rFonts w:hint="eastAsia" w:ascii="宋体" w:hAnsi="宋体" w:cs="宋体"/>
          <w:szCs w:val="21"/>
        </w:rPr>
        <w:t>（3）</w:t>
      </w:r>
      <w:r>
        <w:rPr>
          <w:rFonts w:hint="eastAsia" w:ascii="宋体" w:hAnsi="宋体" w:cs="宋体"/>
          <w:szCs w:val="21"/>
          <w:lang w:eastAsia="zh-CN"/>
        </w:rPr>
        <w:t>其他</w:t>
      </w:r>
      <w:r>
        <w:rPr>
          <w:rFonts w:hint="eastAsia" w:ascii="宋体" w:hAnsi="宋体" w:cs="宋体"/>
          <w:szCs w:val="21"/>
        </w:rPr>
        <w:t>材料要求</w:t>
      </w:r>
    </w:p>
    <w:p w14:paraId="0BD1AF5F">
      <w:pPr>
        <w:spacing w:line="480" w:lineRule="exact"/>
        <w:ind w:firstLine="420" w:firstLineChars="200"/>
        <w:rPr>
          <w:rFonts w:ascii="宋体" w:hAnsi="宋体" w:cs="宋体"/>
          <w:szCs w:val="21"/>
        </w:rPr>
      </w:pPr>
      <w:r>
        <w:rPr>
          <w:rFonts w:hint="eastAsia" w:ascii="宋体" w:hAnsi="宋体" w:cs="宋体"/>
          <w:szCs w:val="21"/>
        </w:rPr>
        <w:t>上述没有规定材料的零件，如果是在阀体内与水接触，并且阀门维修时需要拆卸的零部件、紧固件，均须采用不锈钢材料制造。</w:t>
      </w:r>
    </w:p>
    <w:p w14:paraId="6830C8E0">
      <w:pPr>
        <w:spacing w:line="480" w:lineRule="exact"/>
        <w:ind w:firstLine="420" w:firstLineChars="200"/>
        <w:rPr>
          <w:rFonts w:ascii="宋体" w:hAnsi="宋体" w:cs="宋体"/>
          <w:szCs w:val="21"/>
        </w:rPr>
      </w:pPr>
      <w:r>
        <w:rPr>
          <w:rFonts w:hint="eastAsia" w:ascii="宋体" w:hAnsi="宋体" w:cs="宋体"/>
          <w:szCs w:val="21"/>
        </w:rPr>
        <w:t>（4）涂层</w:t>
      </w:r>
    </w:p>
    <w:p w14:paraId="03DC03FE">
      <w:pPr>
        <w:spacing w:line="480" w:lineRule="exact"/>
        <w:ind w:firstLine="420" w:firstLineChars="200"/>
        <w:rPr>
          <w:rFonts w:ascii="宋体" w:hAnsi="宋体" w:cs="宋体"/>
          <w:szCs w:val="21"/>
        </w:rPr>
      </w:pPr>
      <w:r>
        <w:rPr>
          <w:rFonts w:hint="eastAsia" w:ascii="宋体" w:hAnsi="宋体" w:cs="宋体"/>
          <w:szCs w:val="21"/>
        </w:rPr>
        <w:t>防腐前的阀体、阀板表面至少进行喷砂除锈达到Sa2.5级；将铸件加热后，进行静电喷涂无毒环氧树脂粉末工艺，最后烘干固化；必须保证涂层厚度均匀、色泽均一，涂层表面要光洁，无流痕；涂层厚度不大于1.4mm，但不小于0.3mm。</w:t>
      </w:r>
    </w:p>
    <w:p w14:paraId="79AC9D3A">
      <w:pPr>
        <w:spacing w:line="480" w:lineRule="exact"/>
        <w:ind w:firstLine="420" w:firstLineChars="200"/>
        <w:rPr>
          <w:rFonts w:ascii="宋体" w:hAnsi="宋体" w:cs="宋体"/>
          <w:szCs w:val="21"/>
        </w:rPr>
      </w:pPr>
      <w:r>
        <w:rPr>
          <w:rFonts w:hint="eastAsia" w:ascii="宋体" w:hAnsi="宋体" w:cs="宋体"/>
          <w:szCs w:val="21"/>
        </w:rPr>
        <w:t>当设备在现场安装后由于各种原因需要再次喷涂时</w:t>
      </w:r>
      <w:r>
        <w:rPr>
          <w:rFonts w:hint="eastAsia" w:ascii="宋体" w:hAnsi="宋体" w:cs="宋体"/>
          <w:szCs w:val="21"/>
          <w:lang w:eastAsia="zh-CN"/>
        </w:rPr>
        <w:t>，</w:t>
      </w:r>
      <w:r>
        <w:rPr>
          <w:rFonts w:hint="eastAsia" w:ascii="宋体" w:hAnsi="宋体" w:cs="宋体"/>
          <w:szCs w:val="21"/>
        </w:rPr>
        <w:t>承包人应无偿提供足够数量的涂料供现场修复设备部件表面之用。</w:t>
      </w:r>
    </w:p>
    <w:p w14:paraId="78914EB4">
      <w:pPr>
        <w:spacing w:line="480" w:lineRule="exact"/>
        <w:ind w:firstLine="420" w:firstLineChars="200"/>
        <w:rPr>
          <w:rFonts w:ascii="宋体" w:hAnsi="宋体" w:cs="宋体"/>
          <w:szCs w:val="21"/>
        </w:rPr>
      </w:pPr>
      <w:r>
        <w:rPr>
          <w:rFonts w:hint="eastAsia" w:ascii="宋体" w:hAnsi="宋体" w:cs="宋体"/>
          <w:szCs w:val="21"/>
        </w:rPr>
        <w:t>（5）承包人提供的产品必须是全新，未使用过的，而且必须为原厂生产，不得分包、外委给</w:t>
      </w:r>
      <w:r>
        <w:rPr>
          <w:rFonts w:hint="eastAsia" w:ascii="宋体" w:hAnsi="宋体" w:cs="宋体"/>
          <w:szCs w:val="21"/>
          <w:lang w:eastAsia="zh-CN"/>
        </w:rPr>
        <w:t>其他生产商</w:t>
      </w:r>
      <w:r>
        <w:rPr>
          <w:rFonts w:hint="eastAsia" w:ascii="宋体" w:hAnsi="宋体" w:cs="宋体"/>
          <w:szCs w:val="21"/>
        </w:rPr>
        <w:t>加工生产或进行贴牌生产。</w:t>
      </w:r>
    </w:p>
    <w:p w14:paraId="7AD234E6">
      <w:pPr>
        <w:spacing w:line="480" w:lineRule="exact"/>
        <w:ind w:firstLine="420" w:firstLineChars="200"/>
        <w:rPr>
          <w:rFonts w:ascii="宋体" w:hAnsi="宋体" w:cs="宋体"/>
          <w:szCs w:val="21"/>
        </w:rPr>
      </w:pPr>
      <w:r>
        <w:rPr>
          <w:rFonts w:hint="eastAsia" w:ascii="宋体" w:hAnsi="宋体" w:cs="宋体"/>
          <w:szCs w:val="21"/>
        </w:rPr>
        <w:t>2.1.14  采购明细表及上述未规定的蝶阀技术条件，则按GB/T 12238-2008的规定执行。</w:t>
      </w:r>
    </w:p>
    <w:p w14:paraId="7578758B">
      <w:pPr>
        <w:spacing w:line="480" w:lineRule="exact"/>
        <w:ind w:firstLine="420" w:firstLineChars="200"/>
        <w:rPr>
          <w:rFonts w:ascii="宋体" w:hAnsi="宋体" w:cs="宋体"/>
          <w:szCs w:val="21"/>
          <w:highlight w:val="none"/>
        </w:rPr>
      </w:pPr>
      <w:r>
        <w:rPr>
          <w:rFonts w:hint="eastAsia" w:ascii="宋体" w:hAnsi="宋体" w:cs="宋体"/>
          <w:szCs w:val="21"/>
          <w:lang w:val="en-US" w:eastAsia="zh-CN"/>
        </w:rPr>
        <w:t>2</w:t>
      </w:r>
      <w:r>
        <w:rPr>
          <w:rFonts w:hint="eastAsia" w:ascii="宋体" w:hAnsi="宋体" w:cs="宋体"/>
          <w:szCs w:val="21"/>
          <w:highlight w:val="none"/>
          <w:lang w:val="en-US" w:eastAsia="zh-CN"/>
        </w:rPr>
        <w:t>.2</w:t>
      </w:r>
      <w:r>
        <w:rPr>
          <w:rFonts w:hint="eastAsia" w:ascii="宋体" w:hAnsi="宋体" w:cs="宋体"/>
          <w:szCs w:val="21"/>
          <w:highlight w:val="none"/>
        </w:rPr>
        <w:t xml:space="preserve">  闸阀技术要求</w:t>
      </w:r>
    </w:p>
    <w:p w14:paraId="337FAB67">
      <w:pPr>
        <w:spacing w:line="480" w:lineRule="exact"/>
        <w:ind w:firstLine="420" w:firstLineChars="200"/>
        <w:rPr>
          <w:rFonts w:ascii="宋体" w:hAnsi="宋体" w:cs="宋体"/>
          <w:szCs w:val="21"/>
          <w:highlight w:val="none"/>
        </w:rPr>
      </w:pPr>
      <w:r>
        <w:rPr>
          <w:rFonts w:hint="eastAsia" w:ascii="宋体" w:hAnsi="宋体" w:cs="宋体"/>
          <w:szCs w:val="21"/>
          <w:highlight w:val="none"/>
        </w:rPr>
        <w:t>2.2.1  概述</w:t>
      </w:r>
    </w:p>
    <w:p w14:paraId="2B38593E">
      <w:pPr>
        <w:spacing w:line="480" w:lineRule="exact"/>
        <w:ind w:firstLine="420" w:firstLineChars="200"/>
        <w:rPr>
          <w:rFonts w:ascii="宋体" w:hAnsi="宋体" w:cs="宋体"/>
          <w:szCs w:val="21"/>
          <w:highlight w:val="none"/>
        </w:rPr>
      </w:pPr>
      <w:r>
        <w:rPr>
          <w:rFonts w:hint="eastAsia" w:ascii="宋体" w:hAnsi="宋体" w:cs="宋体"/>
          <w:szCs w:val="21"/>
          <w:highlight w:val="none"/>
        </w:rPr>
        <w:t>本阀门安装在输水管道阀井内，手动操作。</w:t>
      </w:r>
    </w:p>
    <w:p w14:paraId="46490263">
      <w:pPr>
        <w:spacing w:line="480" w:lineRule="exact"/>
        <w:ind w:firstLine="420" w:firstLineChars="200"/>
        <w:rPr>
          <w:rFonts w:ascii="宋体" w:hAnsi="宋体" w:cs="宋体"/>
          <w:szCs w:val="21"/>
          <w:highlight w:val="none"/>
        </w:rPr>
      </w:pPr>
      <w:r>
        <w:rPr>
          <w:rFonts w:hint="eastAsia" w:ascii="宋体" w:hAnsi="宋体" w:cs="宋体"/>
          <w:szCs w:val="21"/>
          <w:highlight w:val="none"/>
        </w:rPr>
        <w:t>2.2.2  执行国家标准、行业规范</w:t>
      </w:r>
    </w:p>
    <w:p w14:paraId="46601A44">
      <w:pPr>
        <w:spacing w:line="480" w:lineRule="exact"/>
        <w:ind w:firstLine="420" w:firstLineChars="200"/>
        <w:rPr>
          <w:rFonts w:ascii="宋体" w:hAnsi="宋体" w:cs="宋体"/>
          <w:szCs w:val="21"/>
          <w:highlight w:val="none"/>
        </w:rPr>
      </w:pPr>
      <w:r>
        <w:rPr>
          <w:rFonts w:hint="eastAsia" w:ascii="宋体" w:hAnsi="宋体" w:cs="宋体"/>
          <w:szCs w:val="21"/>
          <w:highlight w:val="none"/>
        </w:rPr>
        <w:t>承包人提供的产品，在满足下列标准要求的前提下，应满足或高于本</w:t>
      </w:r>
      <w:r>
        <w:rPr>
          <w:rFonts w:hint="eastAsia" w:ascii="宋体" w:hAnsi="宋体" w:cs="宋体"/>
          <w:szCs w:val="21"/>
          <w:highlight w:val="none"/>
          <w:lang w:eastAsia="zh-CN"/>
        </w:rPr>
        <w:t>招选</w:t>
      </w:r>
      <w:r>
        <w:rPr>
          <w:rFonts w:hint="eastAsia" w:ascii="宋体" w:hAnsi="宋体" w:cs="宋体"/>
          <w:szCs w:val="21"/>
          <w:highlight w:val="none"/>
        </w:rPr>
        <w:t>技术要求的规定。</w:t>
      </w:r>
    </w:p>
    <w:p w14:paraId="5B6B8AAE">
      <w:pPr>
        <w:spacing w:line="480" w:lineRule="exact"/>
        <w:ind w:firstLine="420" w:firstLineChars="200"/>
        <w:rPr>
          <w:rFonts w:ascii="宋体" w:hAnsi="宋体" w:cs="宋体"/>
          <w:szCs w:val="21"/>
          <w:highlight w:val="none"/>
        </w:rPr>
      </w:pPr>
      <w:r>
        <w:rPr>
          <w:rFonts w:hint="eastAsia" w:ascii="宋体" w:hAnsi="宋体" w:cs="宋体"/>
          <w:szCs w:val="21"/>
          <w:highlight w:val="none"/>
        </w:rPr>
        <w:t>阀门的设计符合如下相关标准：</w:t>
      </w:r>
    </w:p>
    <w:p w14:paraId="1362F631">
      <w:pPr>
        <w:spacing w:line="480" w:lineRule="exact"/>
        <w:ind w:firstLine="420" w:firstLineChars="200"/>
        <w:rPr>
          <w:rFonts w:ascii="宋体" w:hAnsi="宋体" w:cs="宋体"/>
          <w:szCs w:val="21"/>
          <w:highlight w:val="none"/>
        </w:rPr>
      </w:pPr>
      <w:r>
        <w:rPr>
          <w:rFonts w:hint="eastAsia" w:ascii="宋体" w:hAnsi="宋体" w:cs="宋体"/>
          <w:szCs w:val="21"/>
          <w:highlight w:val="none"/>
        </w:rPr>
        <w:t>（1）《给排水用软密封闸阀》（CJ/T 216-2013）；</w:t>
      </w:r>
    </w:p>
    <w:p w14:paraId="6F1BE395">
      <w:pPr>
        <w:spacing w:line="480" w:lineRule="exact"/>
        <w:ind w:firstLine="413" w:firstLineChars="197"/>
        <w:rPr>
          <w:rFonts w:ascii="宋体" w:hAnsi="宋体" w:cs="宋体"/>
          <w:szCs w:val="21"/>
          <w:highlight w:val="none"/>
        </w:rPr>
      </w:pPr>
      <w:r>
        <w:rPr>
          <w:rFonts w:hint="eastAsia" w:ascii="宋体" w:hAnsi="宋体" w:cs="宋体"/>
          <w:szCs w:val="21"/>
          <w:highlight w:val="none"/>
        </w:rPr>
        <w:t>（2）《管道元件 公称压力的定义和选用》（GB/T 1048-2019）；</w:t>
      </w:r>
    </w:p>
    <w:p w14:paraId="131F4664">
      <w:pPr>
        <w:spacing w:line="480" w:lineRule="exact"/>
        <w:ind w:firstLine="420" w:firstLineChars="200"/>
        <w:rPr>
          <w:rFonts w:ascii="宋体" w:hAnsi="宋体" w:cs="宋体"/>
          <w:szCs w:val="21"/>
          <w:highlight w:val="none"/>
        </w:rPr>
      </w:pPr>
      <w:r>
        <w:rPr>
          <w:rFonts w:hint="eastAsia" w:ascii="宋体" w:hAnsi="宋体" w:cs="宋体"/>
          <w:szCs w:val="21"/>
          <w:highlight w:val="none"/>
        </w:rPr>
        <w:t>（3）《整体铸铁法兰》（GB/T 17241.6-2008）；</w:t>
      </w:r>
    </w:p>
    <w:p w14:paraId="6117B183">
      <w:pPr>
        <w:spacing w:line="480" w:lineRule="exact"/>
        <w:ind w:firstLine="420" w:firstLineChars="200"/>
        <w:rPr>
          <w:rFonts w:ascii="宋体" w:hAnsi="宋体" w:cs="宋体"/>
          <w:szCs w:val="21"/>
          <w:highlight w:val="none"/>
        </w:rPr>
      </w:pPr>
      <w:r>
        <w:rPr>
          <w:rFonts w:hint="eastAsia" w:ascii="宋体" w:hAnsi="宋体" w:cs="宋体"/>
          <w:szCs w:val="21"/>
          <w:highlight w:val="none"/>
        </w:rPr>
        <w:t>（4）《工业阀门 压力试验》（GB/T 13927-2008）；</w:t>
      </w:r>
    </w:p>
    <w:p w14:paraId="5CFA4AF4">
      <w:pPr>
        <w:spacing w:line="480" w:lineRule="exact"/>
        <w:ind w:firstLine="420" w:firstLineChars="200"/>
        <w:rPr>
          <w:rFonts w:ascii="宋体" w:hAnsi="宋体" w:cs="宋体"/>
          <w:szCs w:val="21"/>
          <w:highlight w:val="none"/>
        </w:rPr>
      </w:pPr>
      <w:r>
        <w:rPr>
          <w:rFonts w:hint="eastAsia" w:ascii="宋体" w:hAnsi="宋体" w:cs="宋体"/>
          <w:szCs w:val="21"/>
          <w:highlight w:val="none"/>
        </w:rPr>
        <w:t>（5）《通用阀门 标志》（GB/T 12220-2015）；</w:t>
      </w:r>
    </w:p>
    <w:p w14:paraId="3E5DA0DD">
      <w:pPr>
        <w:spacing w:line="480" w:lineRule="exact"/>
        <w:ind w:firstLine="420" w:firstLineChars="200"/>
        <w:rPr>
          <w:rFonts w:ascii="宋体" w:hAnsi="宋体" w:cs="宋体"/>
          <w:szCs w:val="21"/>
          <w:highlight w:val="none"/>
        </w:rPr>
      </w:pPr>
      <w:r>
        <w:rPr>
          <w:rFonts w:hint="eastAsia" w:ascii="宋体" w:hAnsi="宋体" w:cs="宋体"/>
          <w:szCs w:val="21"/>
          <w:highlight w:val="none"/>
        </w:rPr>
        <w:t>（6）《金属阀门 结构长度》（GB/T 12221-2005）；</w:t>
      </w:r>
    </w:p>
    <w:p w14:paraId="3B098D6E">
      <w:pPr>
        <w:spacing w:line="480" w:lineRule="exact"/>
        <w:ind w:firstLine="420" w:firstLineChars="200"/>
        <w:rPr>
          <w:rFonts w:ascii="宋体" w:hAnsi="宋体" w:cs="宋体"/>
          <w:szCs w:val="21"/>
          <w:highlight w:val="none"/>
        </w:rPr>
      </w:pPr>
      <w:r>
        <w:rPr>
          <w:rFonts w:hint="eastAsia" w:ascii="宋体" w:hAnsi="宋体" w:cs="宋体"/>
          <w:szCs w:val="21"/>
          <w:highlight w:val="none"/>
        </w:rPr>
        <w:t>（7）《通用阀门 铜合金铸件技术条件》（GB/T 12225-2005）；</w:t>
      </w:r>
    </w:p>
    <w:p w14:paraId="32F69D54">
      <w:pPr>
        <w:spacing w:line="480" w:lineRule="exact"/>
        <w:ind w:firstLine="420" w:firstLineChars="200"/>
        <w:rPr>
          <w:rFonts w:ascii="宋体" w:hAnsi="宋体" w:cs="宋体"/>
          <w:szCs w:val="21"/>
          <w:highlight w:val="none"/>
        </w:rPr>
      </w:pPr>
      <w:r>
        <w:rPr>
          <w:rFonts w:hint="eastAsia" w:ascii="宋体" w:hAnsi="宋体" w:cs="宋体"/>
          <w:szCs w:val="21"/>
          <w:highlight w:val="none"/>
        </w:rPr>
        <w:t>（8）《通用阀门 球墨铸铁件技术条件》（GB/T 12227-2005）；</w:t>
      </w:r>
    </w:p>
    <w:p w14:paraId="4B5D807F">
      <w:pPr>
        <w:spacing w:line="480" w:lineRule="exact"/>
        <w:ind w:firstLine="420" w:firstLineChars="200"/>
        <w:rPr>
          <w:rFonts w:ascii="宋体" w:hAnsi="宋体" w:cs="宋体"/>
          <w:szCs w:val="21"/>
          <w:highlight w:val="none"/>
        </w:rPr>
      </w:pPr>
      <w:r>
        <w:rPr>
          <w:rFonts w:hint="eastAsia" w:ascii="宋体" w:hAnsi="宋体" w:cs="宋体"/>
          <w:szCs w:val="21"/>
          <w:highlight w:val="none"/>
        </w:rPr>
        <w:t>（9）《通用阀门 法兰连接铁质闸阀》（GB/T 12232-2005）；</w:t>
      </w:r>
    </w:p>
    <w:p w14:paraId="59093779">
      <w:pPr>
        <w:spacing w:line="480" w:lineRule="exact"/>
        <w:ind w:firstLine="420" w:firstLineChars="200"/>
        <w:rPr>
          <w:rFonts w:ascii="宋体" w:hAnsi="宋体" w:cs="宋体"/>
          <w:szCs w:val="21"/>
          <w:highlight w:val="none"/>
        </w:rPr>
      </w:pPr>
      <w:r>
        <w:rPr>
          <w:rFonts w:hint="eastAsia" w:ascii="宋体" w:hAnsi="宋体" w:cs="宋体"/>
          <w:szCs w:val="21"/>
          <w:highlight w:val="none"/>
        </w:rPr>
        <w:t>（10）《板式平焊钢制管法兰》（GB/T 9119-2010）；</w:t>
      </w:r>
    </w:p>
    <w:p w14:paraId="4A23B4C0">
      <w:pPr>
        <w:spacing w:line="480" w:lineRule="exact"/>
        <w:ind w:firstLine="420" w:firstLineChars="200"/>
        <w:rPr>
          <w:rFonts w:ascii="宋体" w:hAnsi="宋体" w:cs="宋体"/>
          <w:szCs w:val="21"/>
          <w:highlight w:val="none"/>
        </w:rPr>
      </w:pPr>
      <w:r>
        <w:rPr>
          <w:rFonts w:hint="eastAsia" w:ascii="宋体" w:hAnsi="宋体" w:cs="宋体"/>
          <w:szCs w:val="21"/>
          <w:highlight w:val="none"/>
        </w:rPr>
        <w:t>（11）《不锈钢棒》（GB/T 1220-2007）；</w:t>
      </w:r>
    </w:p>
    <w:p w14:paraId="6CA6F39F">
      <w:pPr>
        <w:spacing w:line="480" w:lineRule="exact"/>
        <w:ind w:left="479" w:leftChars="228"/>
        <w:rPr>
          <w:rFonts w:ascii="宋体" w:hAnsi="宋体" w:cs="宋体"/>
          <w:szCs w:val="21"/>
          <w:highlight w:val="none"/>
        </w:rPr>
      </w:pPr>
      <w:r>
        <w:rPr>
          <w:rFonts w:hint="eastAsia" w:ascii="宋体" w:hAnsi="宋体" w:cs="宋体"/>
          <w:szCs w:val="21"/>
          <w:highlight w:val="none"/>
        </w:rPr>
        <w:t>（12）《生活饮用水输配水设备及防护材料的安全性评价标准》（GB/T 17219-1998）；</w:t>
      </w:r>
    </w:p>
    <w:p w14:paraId="1329453B">
      <w:pPr>
        <w:spacing w:line="480" w:lineRule="exact"/>
        <w:ind w:firstLine="420" w:firstLineChars="200"/>
        <w:rPr>
          <w:rFonts w:ascii="宋体" w:hAnsi="宋体" w:cs="宋体"/>
          <w:szCs w:val="21"/>
          <w:highlight w:val="none"/>
        </w:rPr>
      </w:pPr>
      <w:r>
        <w:rPr>
          <w:rFonts w:hint="eastAsia" w:ascii="宋体" w:hAnsi="宋体" w:cs="宋体"/>
          <w:szCs w:val="21"/>
          <w:highlight w:val="none"/>
        </w:rPr>
        <w:t>（13）《阀门的检验和试验》（GB/T 26480-2011）；</w:t>
      </w:r>
    </w:p>
    <w:p w14:paraId="783A1E52">
      <w:pPr>
        <w:spacing w:line="480" w:lineRule="exact"/>
        <w:ind w:left="1103" w:leftChars="225" w:hanging="630" w:hangingChars="300"/>
        <w:rPr>
          <w:rFonts w:ascii="宋体" w:hAnsi="宋体" w:cs="宋体"/>
          <w:szCs w:val="21"/>
        </w:rPr>
      </w:pPr>
      <w:r>
        <w:rPr>
          <w:rFonts w:hint="eastAsia" w:ascii="宋体" w:hAnsi="宋体" w:cs="宋体"/>
          <w:szCs w:val="21"/>
          <w:highlight w:val="none"/>
        </w:rPr>
        <w:t>（14）《涂覆涂料前钢材表面处理 表面清洁度的目视评定 第1部分：未涂覆</w:t>
      </w:r>
      <w:r>
        <w:rPr>
          <w:rFonts w:hint="eastAsia" w:ascii="宋体" w:hAnsi="宋体" w:cs="宋体"/>
          <w:szCs w:val="21"/>
        </w:rPr>
        <w:t>过的钢材表面和全面清除原有涂层后的钢材表面的锈蚀等级和处理等级》（GB/T 8923.1-2011）；</w:t>
      </w:r>
    </w:p>
    <w:p w14:paraId="2E34655C">
      <w:pPr>
        <w:spacing w:line="480" w:lineRule="exact"/>
        <w:ind w:left="1103" w:leftChars="225" w:hanging="630" w:hangingChars="300"/>
        <w:rPr>
          <w:rFonts w:ascii="宋体" w:hAnsi="宋体" w:cs="宋体"/>
          <w:szCs w:val="21"/>
        </w:rPr>
      </w:pPr>
      <w:r>
        <w:rPr>
          <w:rFonts w:hint="eastAsia" w:ascii="宋体" w:hAnsi="宋体" w:cs="宋体"/>
          <w:szCs w:val="21"/>
        </w:rPr>
        <w:t>（15）《涂覆涂料前钢材表面处理 表面清洁度的目视评定 第2部分：已涂覆过的钢材表面局部清除原有涂层后的处理等级》（GB/T 8923.2-2008）；</w:t>
      </w:r>
    </w:p>
    <w:p w14:paraId="6DEB6E6B">
      <w:pPr>
        <w:spacing w:line="480" w:lineRule="exact"/>
        <w:ind w:left="1103" w:leftChars="225" w:hanging="630" w:hangingChars="300"/>
        <w:rPr>
          <w:rFonts w:ascii="宋体" w:hAnsi="宋体" w:cs="宋体"/>
          <w:szCs w:val="21"/>
        </w:rPr>
      </w:pPr>
      <w:r>
        <w:rPr>
          <w:rFonts w:hint="eastAsia" w:ascii="宋体" w:hAnsi="宋体" w:cs="宋体"/>
          <w:szCs w:val="21"/>
        </w:rPr>
        <w:t>（16）《涂覆涂料前钢材表面处理 表面清洁度的目视评定 第3部分：焊缝、边缘和</w:t>
      </w:r>
      <w:r>
        <w:rPr>
          <w:rFonts w:hint="eastAsia" w:ascii="宋体" w:hAnsi="宋体" w:cs="宋体"/>
          <w:szCs w:val="21"/>
          <w:lang w:eastAsia="zh-CN"/>
        </w:rPr>
        <w:t>其他</w:t>
      </w:r>
      <w:r>
        <w:rPr>
          <w:rFonts w:hint="eastAsia" w:ascii="宋体" w:hAnsi="宋体" w:cs="宋体"/>
          <w:szCs w:val="21"/>
        </w:rPr>
        <w:t>区域的表面缺陷处理等级》（GB/T 8923.3-2009）；</w:t>
      </w:r>
    </w:p>
    <w:p w14:paraId="68C45758">
      <w:pPr>
        <w:spacing w:line="480" w:lineRule="exact"/>
        <w:ind w:left="2789" w:leftChars="228" w:hanging="2310" w:hangingChars="1100"/>
        <w:rPr>
          <w:rFonts w:ascii="宋体" w:hAnsi="宋体" w:cs="宋体"/>
          <w:szCs w:val="21"/>
        </w:rPr>
      </w:pPr>
      <w:r>
        <w:rPr>
          <w:rFonts w:hint="eastAsia" w:ascii="宋体" w:hAnsi="宋体" w:cs="宋体"/>
          <w:szCs w:val="21"/>
        </w:rPr>
        <w:t>（17）《橡胶密封圈 给、排水管及污水管道用接口密封圈 材料规范》（GB/T 21873-2008）；</w:t>
      </w:r>
    </w:p>
    <w:p w14:paraId="78369DF0">
      <w:pPr>
        <w:spacing w:line="480" w:lineRule="exact"/>
        <w:ind w:firstLine="420" w:firstLineChars="200"/>
        <w:rPr>
          <w:rFonts w:ascii="宋体" w:hAnsi="宋体" w:cs="宋体"/>
          <w:szCs w:val="21"/>
        </w:rPr>
      </w:pPr>
      <w:r>
        <w:rPr>
          <w:rFonts w:hint="eastAsia" w:ascii="宋体" w:hAnsi="宋体" w:cs="宋体"/>
          <w:szCs w:val="21"/>
        </w:rPr>
        <w:t>（18）《工业阀门 供货要求》（JB/T 7928-2014）；</w:t>
      </w:r>
    </w:p>
    <w:p w14:paraId="269EB0CD">
      <w:pPr>
        <w:spacing w:line="480" w:lineRule="exact"/>
        <w:ind w:firstLine="420" w:firstLineChars="200"/>
        <w:rPr>
          <w:rFonts w:ascii="宋体" w:hAnsi="宋体" w:cs="宋体"/>
          <w:szCs w:val="21"/>
        </w:rPr>
      </w:pPr>
      <w:r>
        <w:rPr>
          <w:rFonts w:hint="eastAsia" w:ascii="宋体" w:hAnsi="宋体" w:cs="宋体"/>
          <w:szCs w:val="21"/>
        </w:rPr>
        <w:t>（19）其他现行相关国家标准、行业规范。</w:t>
      </w:r>
    </w:p>
    <w:p w14:paraId="177C46D3">
      <w:pPr>
        <w:spacing w:line="480" w:lineRule="exact"/>
        <w:ind w:firstLine="420" w:firstLineChars="200"/>
        <w:rPr>
          <w:rFonts w:ascii="宋体" w:hAnsi="宋体" w:cs="宋体"/>
          <w:szCs w:val="21"/>
        </w:rPr>
      </w:pPr>
      <w:r>
        <w:rPr>
          <w:rFonts w:hint="eastAsia" w:ascii="宋体" w:hAnsi="宋体" w:cs="宋体"/>
          <w:szCs w:val="21"/>
        </w:rPr>
        <w:t>以上标准或规范若由新标准或规范替代时，则执行有效的新标准或规范。</w:t>
      </w:r>
    </w:p>
    <w:p w14:paraId="00B64A08">
      <w:pPr>
        <w:spacing w:line="480" w:lineRule="exact"/>
        <w:ind w:firstLine="420" w:firstLineChars="200"/>
        <w:rPr>
          <w:rFonts w:hint="eastAsia" w:ascii="宋体" w:hAnsi="宋体" w:cs="宋体" w:eastAsiaTheme="minorEastAsia"/>
          <w:szCs w:val="21"/>
          <w:highlight w:val="none"/>
          <w:lang w:eastAsia="zh-CN"/>
        </w:rPr>
      </w:pPr>
      <w:r>
        <w:rPr>
          <w:rFonts w:hint="eastAsia" w:ascii="宋体" w:hAnsi="宋体" w:cs="宋体"/>
          <w:szCs w:val="21"/>
          <w:highlight w:val="none"/>
        </w:rPr>
        <w:t>2.2.3  卫生指标</w:t>
      </w:r>
      <w:r>
        <w:rPr>
          <w:rFonts w:hint="eastAsia" w:ascii="宋体" w:hAnsi="宋体" w:cs="宋体"/>
          <w:szCs w:val="21"/>
          <w:highlight w:val="none"/>
          <w:lang w:eastAsia="zh-CN"/>
        </w:rPr>
        <w:t>：</w:t>
      </w:r>
      <w:r>
        <w:rPr>
          <w:rFonts w:hint="eastAsia" w:ascii="宋体" w:hAnsi="宋体" w:cs="宋体"/>
          <w:szCs w:val="21"/>
          <w:highlight w:val="none"/>
        </w:rPr>
        <w:t xml:space="preserve"> 承包人提供的产品，必须获得省级以上(含省级)卫生部门颁发的涉及饮用水卫生安全产品“卫生许可批件”。闸阀所有零部件、密封件、防腐涂料均不得采用可能对自来水造成污染的材料。</w:t>
      </w:r>
    </w:p>
    <w:p w14:paraId="6F6195B1">
      <w:pPr>
        <w:spacing w:line="480" w:lineRule="exact"/>
        <w:ind w:firstLine="420" w:firstLineChars="200"/>
        <w:rPr>
          <w:rFonts w:ascii="宋体" w:hAnsi="宋体" w:cs="宋体"/>
          <w:szCs w:val="21"/>
        </w:rPr>
      </w:pPr>
      <w:r>
        <w:rPr>
          <w:rFonts w:hint="eastAsia" w:ascii="宋体" w:hAnsi="宋体" w:cs="宋体"/>
          <w:szCs w:val="21"/>
        </w:rPr>
        <w:t>2.2.4  工作介质、温度</w:t>
      </w:r>
    </w:p>
    <w:p w14:paraId="7561F84F">
      <w:pPr>
        <w:spacing w:line="480" w:lineRule="exact"/>
        <w:ind w:firstLine="420" w:firstLineChars="200"/>
        <w:rPr>
          <w:rFonts w:ascii="宋体" w:hAnsi="宋体" w:cs="宋体"/>
          <w:szCs w:val="21"/>
        </w:rPr>
      </w:pPr>
      <w:r>
        <w:rPr>
          <w:rFonts w:hint="eastAsia" w:ascii="宋体" w:hAnsi="宋体" w:cs="宋体"/>
          <w:szCs w:val="21"/>
        </w:rPr>
        <w:t>工作介质为自来水或河水，工作温度0℃～80℃，公称压力为1.0MPa。</w:t>
      </w:r>
    </w:p>
    <w:p w14:paraId="16D02A7E">
      <w:pPr>
        <w:spacing w:line="480" w:lineRule="exact"/>
        <w:ind w:firstLine="420" w:firstLineChars="200"/>
        <w:rPr>
          <w:rFonts w:ascii="宋体" w:hAnsi="宋体" w:cs="宋体"/>
          <w:szCs w:val="21"/>
        </w:rPr>
      </w:pPr>
      <w:r>
        <w:rPr>
          <w:rFonts w:hint="eastAsia" w:ascii="宋体" w:hAnsi="宋体" w:cs="宋体"/>
          <w:szCs w:val="21"/>
        </w:rPr>
        <w:t>2.2.5  型式和说明</w:t>
      </w:r>
    </w:p>
    <w:p w14:paraId="55BDCEE3">
      <w:pPr>
        <w:spacing w:line="480" w:lineRule="exact"/>
        <w:ind w:firstLine="420" w:firstLineChars="200"/>
        <w:rPr>
          <w:rFonts w:ascii="宋体" w:hAnsi="宋体" w:cs="宋体"/>
          <w:bCs/>
          <w:szCs w:val="21"/>
        </w:rPr>
      </w:pPr>
      <w:r>
        <w:rPr>
          <w:rFonts w:hint="eastAsia" w:ascii="宋体" w:hAnsi="宋体" w:cs="宋体"/>
          <w:szCs w:val="21"/>
        </w:rPr>
        <w:t>（1）</w:t>
      </w:r>
      <w:r>
        <w:rPr>
          <w:rFonts w:hint="eastAsia" w:ascii="宋体" w:hAnsi="宋体" w:cs="宋体"/>
          <w:bCs/>
          <w:szCs w:val="21"/>
        </w:rPr>
        <w:t>闸阀采用</w:t>
      </w:r>
      <w:r>
        <w:rPr>
          <w:rFonts w:hint="eastAsia" w:ascii="宋体" w:hAnsi="宋体" w:cs="宋体"/>
          <w:szCs w:val="21"/>
        </w:rPr>
        <w:t>双向软密封</w:t>
      </w:r>
      <w:r>
        <w:rPr>
          <w:rFonts w:hint="eastAsia" w:ascii="宋体" w:hAnsi="宋体" w:cs="宋体"/>
          <w:bCs/>
          <w:szCs w:val="21"/>
        </w:rPr>
        <w:t>，与管道的连接形式为法兰连接，法兰连接尺寸按国家标准执行。</w:t>
      </w:r>
    </w:p>
    <w:p w14:paraId="31E66164">
      <w:pPr>
        <w:spacing w:line="480" w:lineRule="exact"/>
        <w:ind w:firstLine="420" w:firstLineChars="200"/>
        <w:rPr>
          <w:rFonts w:ascii="宋体" w:hAnsi="宋体" w:cs="宋体"/>
          <w:szCs w:val="21"/>
        </w:rPr>
      </w:pPr>
      <w:r>
        <w:rPr>
          <w:rFonts w:hint="eastAsia" w:ascii="宋体" w:hAnsi="宋体" w:cs="宋体"/>
          <w:szCs w:val="21"/>
        </w:rPr>
        <w:t>（2）闸阀主要由阀体、闸板、阀盖、阀杆、阀杆螺母和手轮等组成，手轮暗杆传动。</w:t>
      </w:r>
    </w:p>
    <w:p w14:paraId="634BF9EE">
      <w:pPr>
        <w:spacing w:line="480" w:lineRule="exact"/>
        <w:ind w:firstLine="420" w:firstLineChars="200"/>
        <w:rPr>
          <w:rFonts w:ascii="宋体" w:hAnsi="宋体" w:cs="宋体"/>
          <w:bCs/>
          <w:szCs w:val="21"/>
        </w:rPr>
      </w:pPr>
      <w:r>
        <w:rPr>
          <w:rFonts w:hint="eastAsia" w:ascii="宋体" w:hAnsi="宋体" w:cs="宋体"/>
          <w:szCs w:val="21"/>
        </w:rPr>
        <w:t>（3）维修时不须拆下阀门，只须将阀盖拆下，更新闸板</w:t>
      </w:r>
      <w:r>
        <w:rPr>
          <w:rFonts w:hint="eastAsia" w:ascii="宋体" w:hAnsi="宋体" w:cs="宋体"/>
          <w:szCs w:val="21"/>
          <w:lang w:eastAsia="zh-CN"/>
        </w:rPr>
        <w:t>即可</w:t>
      </w:r>
      <w:r>
        <w:rPr>
          <w:rFonts w:hint="eastAsia" w:ascii="宋体" w:hAnsi="宋体" w:cs="宋体"/>
          <w:szCs w:val="21"/>
        </w:rPr>
        <w:t>，闸板重新包胶还可使用。</w:t>
      </w:r>
    </w:p>
    <w:p w14:paraId="04FAAD71">
      <w:pPr>
        <w:spacing w:line="480" w:lineRule="exact"/>
        <w:ind w:firstLine="420" w:firstLineChars="200"/>
        <w:rPr>
          <w:rFonts w:ascii="宋体" w:hAnsi="宋体" w:cs="宋体"/>
          <w:szCs w:val="21"/>
        </w:rPr>
      </w:pPr>
      <w:r>
        <w:rPr>
          <w:rFonts w:hint="eastAsia" w:ascii="宋体" w:hAnsi="宋体" w:cs="宋体"/>
          <w:szCs w:val="21"/>
        </w:rPr>
        <w:t>2.2.6  阀体、阀盖、阀板</w:t>
      </w:r>
    </w:p>
    <w:p w14:paraId="2036822F">
      <w:pPr>
        <w:spacing w:line="480" w:lineRule="exact"/>
        <w:ind w:firstLine="420" w:firstLineChars="200"/>
        <w:rPr>
          <w:rFonts w:ascii="宋体" w:hAnsi="宋体" w:cs="宋体"/>
          <w:szCs w:val="21"/>
        </w:rPr>
      </w:pPr>
      <w:r>
        <w:rPr>
          <w:rFonts w:hint="eastAsia" w:ascii="宋体" w:hAnsi="宋体" w:cs="宋体"/>
          <w:szCs w:val="21"/>
        </w:rPr>
        <w:t>（1）阀体、阀盖、阀板采用球墨铸铁QT450-10或性能更高的材料，铸造工艺为树脂砂型，阀门铸件过流表面要求光滑，并符合GB/T 12227-2005的规定，铸件要进行热处理消除内应力。商标及材质牌号铸在阀体上。</w:t>
      </w:r>
    </w:p>
    <w:p w14:paraId="48BE82AD">
      <w:pPr>
        <w:spacing w:line="480" w:lineRule="exact"/>
        <w:ind w:firstLine="420" w:firstLineChars="200"/>
        <w:rPr>
          <w:rFonts w:ascii="宋体" w:hAnsi="宋体" w:cs="宋体"/>
          <w:szCs w:val="21"/>
        </w:rPr>
      </w:pPr>
      <w:r>
        <w:rPr>
          <w:rFonts w:hint="eastAsia" w:ascii="宋体" w:hAnsi="宋体" w:cs="宋体"/>
          <w:szCs w:val="21"/>
        </w:rPr>
        <w:t>（2）法兰材质与阀体一致，并与阀体铸为一体，法兰要符合GB/T 17241.6-2008的规定。</w:t>
      </w:r>
    </w:p>
    <w:p w14:paraId="35FD1853">
      <w:pPr>
        <w:spacing w:line="480" w:lineRule="exact"/>
        <w:ind w:firstLine="420" w:firstLineChars="200"/>
        <w:rPr>
          <w:rFonts w:ascii="宋体" w:hAnsi="宋体" w:cs="宋体"/>
          <w:szCs w:val="21"/>
        </w:rPr>
      </w:pPr>
      <w:r>
        <w:rPr>
          <w:rFonts w:hint="eastAsia" w:ascii="宋体" w:hAnsi="宋体" w:cs="宋体"/>
          <w:szCs w:val="21"/>
        </w:rPr>
        <w:t>（3）阀体采用直通式，即平底式阀座。阀体与阀盖之间的连接采用法兰式连接或自密封结构。在1.5倍工作压力的壳体试验下，阀体所有部件不发生变形。</w:t>
      </w:r>
    </w:p>
    <w:p w14:paraId="69EBDDA0">
      <w:pPr>
        <w:spacing w:line="480" w:lineRule="exact"/>
        <w:ind w:firstLine="420" w:firstLineChars="200"/>
        <w:rPr>
          <w:rFonts w:ascii="宋体" w:hAnsi="宋体" w:cs="宋体"/>
          <w:szCs w:val="21"/>
        </w:rPr>
      </w:pPr>
      <w:r>
        <w:rPr>
          <w:rFonts w:hint="eastAsia" w:ascii="宋体" w:hAnsi="宋体" w:cs="宋体"/>
          <w:szCs w:val="21"/>
        </w:rPr>
        <w:t>（4）阀板以球墨铸铁为骨架，硫化技术内外表面均采用三元乙丙烯聚合橡胶（EPDM）完全包覆，要求包胶贴合紧密，几何尺寸精确，密封弹性佳，阀板金属与流体介质完全隔离。</w:t>
      </w:r>
    </w:p>
    <w:p w14:paraId="6CF3237D">
      <w:pPr>
        <w:spacing w:line="480" w:lineRule="exact"/>
        <w:ind w:firstLine="420" w:firstLineChars="200"/>
        <w:rPr>
          <w:rFonts w:ascii="宋体" w:hAnsi="宋体" w:cs="宋体"/>
          <w:szCs w:val="21"/>
        </w:rPr>
      </w:pPr>
      <w:r>
        <w:rPr>
          <w:rFonts w:hint="eastAsia" w:ascii="宋体" w:hAnsi="宋体" w:cs="宋体"/>
          <w:szCs w:val="21"/>
        </w:rPr>
        <w:t>2.2.7  阀杆</w:t>
      </w:r>
    </w:p>
    <w:p w14:paraId="1F95B3A9">
      <w:pPr>
        <w:spacing w:line="480" w:lineRule="exact"/>
        <w:ind w:firstLine="420" w:firstLineChars="200"/>
        <w:rPr>
          <w:rFonts w:ascii="宋体" w:hAnsi="宋体" w:cs="宋体"/>
          <w:szCs w:val="21"/>
        </w:rPr>
      </w:pPr>
      <w:r>
        <w:rPr>
          <w:rFonts w:hint="eastAsia" w:ascii="宋体" w:hAnsi="宋体" w:cs="宋体"/>
          <w:szCs w:val="21"/>
        </w:rPr>
        <w:t>（1）阀杆材质采用不锈钢（2Cr13或1Cr13），该材料需符合GB/T 1220-2007的规定。</w:t>
      </w:r>
    </w:p>
    <w:p w14:paraId="4ABCC9A1">
      <w:pPr>
        <w:spacing w:line="480" w:lineRule="exact"/>
        <w:ind w:firstLine="420" w:firstLineChars="200"/>
        <w:rPr>
          <w:rFonts w:ascii="宋体" w:hAnsi="宋体" w:cs="宋体"/>
          <w:szCs w:val="21"/>
        </w:rPr>
      </w:pPr>
      <w:r>
        <w:rPr>
          <w:rFonts w:hint="eastAsia" w:ascii="宋体" w:hAnsi="宋体" w:cs="宋体"/>
          <w:szCs w:val="21"/>
        </w:rPr>
        <w:t>（2）阀杆螺母的材质为ZcuAL10Fe3铝青铜，阀杆螺母与闸板的连接为嵌入式，即阀杆螺母嵌入到阀板中成为一体。闸板的铜螺母与球墨铸铁骨架采用特种工艺紧密连接为一体，并且表面完全包覆三元乙丙烯聚合橡胶（EPDM），长期水流冲击下和操作时阀杆螺母不松动、阀板不会脱落。</w:t>
      </w:r>
    </w:p>
    <w:p w14:paraId="1CA123DA">
      <w:pPr>
        <w:spacing w:line="480" w:lineRule="exact"/>
        <w:ind w:firstLine="420" w:firstLineChars="200"/>
        <w:rPr>
          <w:rFonts w:ascii="宋体" w:hAnsi="宋体" w:cs="宋体"/>
          <w:szCs w:val="21"/>
        </w:rPr>
      </w:pPr>
      <w:r>
        <w:rPr>
          <w:rFonts w:hint="eastAsia" w:ascii="宋体" w:hAnsi="宋体" w:cs="宋体"/>
          <w:szCs w:val="21"/>
        </w:rPr>
        <w:t>（3）软密封闸阀为暗杆式，即阀杆在开启或关闭的过程中不升降。</w:t>
      </w:r>
    </w:p>
    <w:p w14:paraId="34ABC2F8">
      <w:pPr>
        <w:spacing w:line="480" w:lineRule="exact"/>
        <w:ind w:firstLine="420" w:firstLineChars="200"/>
        <w:rPr>
          <w:rFonts w:ascii="宋体" w:hAnsi="宋体" w:cs="宋体"/>
          <w:szCs w:val="21"/>
        </w:rPr>
      </w:pPr>
      <w:r>
        <w:rPr>
          <w:rFonts w:hint="eastAsia" w:ascii="宋体" w:hAnsi="宋体" w:cs="宋体"/>
          <w:szCs w:val="21"/>
        </w:rPr>
        <w:t>2.2.8  轴承：采用止推轴承，材料为青铜。止推轴承要有可靠的安装结构和加工精度，保证在开关操作中不产生脱落和抱死。</w:t>
      </w:r>
    </w:p>
    <w:p w14:paraId="0E84F137">
      <w:pPr>
        <w:spacing w:line="480" w:lineRule="exact"/>
        <w:ind w:firstLine="420" w:firstLineChars="200"/>
        <w:rPr>
          <w:rFonts w:ascii="宋体" w:hAnsi="宋体" w:cs="宋体"/>
          <w:szCs w:val="21"/>
        </w:rPr>
      </w:pPr>
      <w:r>
        <w:rPr>
          <w:rFonts w:hint="eastAsia" w:ascii="宋体" w:hAnsi="宋体" w:cs="宋体"/>
          <w:szCs w:val="21"/>
        </w:rPr>
        <w:t>2.2.9  密封</w:t>
      </w:r>
    </w:p>
    <w:p w14:paraId="3A2F39B4">
      <w:pPr>
        <w:spacing w:line="480" w:lineRule="exact"/>
        <w:ind w:firstLine="420" w:firstLineChars="200"/>
        <w:rPr>
          <w:rFonts w:ascii="宋体" w:hAnsi="宋体" w:cs="宋体"/>
          <w:szCs w:val="21"/>
        </w:rPr>
      </w:pPr>
      <w:r>
        <w:rPr>
          <w:rFonts w:hint="eastAsia" w:ascii="宋体" w:hAnsi="宋体" w:cs="宋体"/>
          <w:szCs w:val="21"/>
        </w:rPr>
        <w:t>（1）阀体与阀盖的密封：采用</w:t>
      </w:r>
      <w:r>
        <w:rPr>
          <w:rFonts w:hint="eastAsia" w:ascii="宋体" w:hAnsi="宋体" w:cs="宋体"/>
          <w:szCs w:val="21"/>
          <w:lang w:eastAsia="zh-CN"/>
        </w:rPr>
        <w:t>丁腈橡胶</w:t>
      </w:r>
      <w:r>
        <w:rPr>
          <w:rFonts w:hint="eastAsia" w:ascii="宋体" w:hAnsi="宋体" w:cs="宋体"/>
          <w:szCs w:val="21"/>
        </w:rPr>
        <w:t>密封圈密封。</w:t>
      </w:r>
    </w:p>
    <w:p w14:paraId="42FDDD2B">
      <w:pPr>
        <w:spacing w:line="480" w:lineRule="exact"/>
        <w:ind w:firstLine="420" w:firstLineChars="200"/>
        <w:rPr>
          <w:rFonts w:ascii="宋体" w:hAnsi="宋体" w:cs="宋体"/>
          <w:szCs w:val="21"/>
        </w:rPr>
      </w:pPr>
      <w:r>
        <w:rPr>
          <w:rFonts w:hint="eastAsia" w:ascii="宋体" w:hAnsi="宋体" w:cs="宋体"/>
          <w:szCs w:val="21"/>
        </w:rPr>
        <w:t>（2）阀杆与阀盖的密封：采用至少3道“O”型</w:t>
      </w:r>
      <w:r>
        <w:rPr>
          <w:rFonts w:hint="eastAsia" w:ascii="宋体" w:hAnsi="宋体" w:cs="宋体"/>
          <w:szCs w:val="21"/>
          <w:lang w:eastAsia="zh-CN"/>
        </w:rPr>
        <w:t>丁腈橡胶</w:t>
      </w:r>
      <w:r>
        <w:rPr>
          <w:rFonts w:hint="eastAsia" w:ascii="宋体" w:hAnsi="宋体" w:cs="宋体"/>
          <w:szCs w:val="21"/>
        </w:rPr>
        <w:t>密封圈密封。还可使阀门处于任何开度有压力且不断水的情况下，均可轻易更换两道“O”型密封圈，且阀杆有安全锁定功能，确保施工安全。</w:t>
      </w:r>
    </w:p>
    <w:p w14:paraId="264605F0">
      <w:pPr>
        <w:spacing w:line="480" w:lineRule="exact"/>
        <w:ind w:firstLine="420" w:firstLineChars="200"/>
        <w:rPr>
          <w:rFonts w:ascii="宋体" w:hAnsi="宋体" w:cs="宋体"/>
          <w:szCs w:val="21"/>
        </w:rPr>
      </w:pPr>
      <w:r>
        <w:rPr>
          <w:rFonts w:hint="eastAsia" w:ascii="宋体" w:hAnsi="宋体" w:cs="宋体"/>
          <w:szCs w:val="21"/>
        </w:rPr>
        <w:t>（3）阀体与阀板、阀体与阀盖、阀杆与阀盖的密封试验均要符合GB/T13927-2008的规定。</w:t>
      </w:r>
    </w:p>
    <w:p w14:paraId="2268245B">
      <w:pPr>
        <w:spacing w:line="480" w:lineRule="exact"/>
        <w:ind w:firstLine="420" w:firstLineChars="200"/>
        <w:rPr>
          <w:rFonts w:ascii="宋体" w:hAnsi="宋体" w:cs="宋体"/>
          <w:szCs w:val="21"/>
        </w:rPr>
      </w:pPr>
      <w:r>
        <w:rPr>
          <w:rFonts w:hint="eastAsia" w:ascii="宋体" w:hAnsi="宋体" w:cs="宋体"/>
          <w:szCs w:val="21"/>
        </w:rPr>
        <w:t>（4）运至现场的密封圈不得有任何损坏现象，在阀门正常安装、使用过程中不得有松动、脱落、渗漏现象。</w:t>
      </w:r>
    </w:p>
    <w:p w14:paraId="6A95ADBD">
      <w:pPr>
        <w:spacing w:line="480" w:lineRule="exact"/>
        <w:ind w:firstLine="420" w:firstLineChars="200"/>
        <w:rPr>
          <w:rFonts w:ascii="宋体" w:hAnsi="宋体" w:cs="宋体"/>
          <w:szCs w:val="21"/>
        </w:rPr>
      </w:pPr>
      <w:r>
        <w:rPr>
          <w:rFonts w:hint="eastAsia" w:ascii="宋体" w:hAnsi="宋体" w:cs="宋体"/>
          <w:szCs w:val="21"/>
        </w:rPr>
        <w:t>2.2.10  传动机构</w:t>
      </w:r>
    </w:p>
    <w:p w14:paraId="19F12DB2">
      <w:pPr>
        <w:spacing w:line="480" w:lineRule="exact"/>
        <w:ind w:firstLine="420" w:firstLineChars="200"/>
        <w:rPr>
          <w:rFonts w:ascii="宋体" w:hAnsi="宋体" w:cs="宋体"/>
          <w:szCs w:val="21"/>
        </w:rPr>
      </w:pPr>
      <w:r>
        <w:rPr>
          <w:rFonts w:hint="eastAsia" w:ascii="宋体" w:hAnsi="宋体" w:cs="宋体"/>
          <w:szCs w:val="21"/>
        </w:rPr>
        <w:t>（1）手轮采用铸钢或性能更高的材料，可卸式。手轮安装在阀门顶部，操作设计</w:t>
      </w:r>
      <w:r>
        <w:rPr>
          <w:rFonts w:hint="eastAsia" w:ascii="宋体" w:hAnsi="宋体" w:cs="宋体"/>
          <w:szCs w:val="21"/>
          <w:lang w:eastAsia="zh-CN"/>
        </w:rPr>
        <w:t>呈</w:t>
      </w:r>
      <w:r>
        <w:rPr>
          <w:rFonts w:hint="eastAsia" w:ascii="宋体" w:hAnsi="宋体" w:cs="宋体"/>
          <w:szCs w:val="21"/>
        </w:rPr>
        <w:t>水平方向运转，操作方向顺时针为关闭，逆时针为开启，手轮上须注明开阀和关阀方向。手轮表面光滑，不得有毛刺、凹坑、凸起等缺陷。</w:t>
      </w:r>
    </w:p>
    <w:p w14:paraId="0B99FB6D">
      <w:pPr>
        <w:spacing w:line="480" w:lineRule="exact"/>
        <w:ind w:firstLine="420" w:firstLineChars="200"/>
        <w:rPr>
          <w:rFonts w:ascii="宋体" w:hAnsi="宋体" w:cs="宋体"/>
          <w:szCs w:val="21"/>
        </w:rPr>
      </w:pPr>
      <w:r>
        <w:rPr>
          <w:rFonts w:hint="eastAsia" w:ascii="宋体" w:hAnsi="宋体" w:cs="宋体"/>
          <w:szCs w:val="21"/>
        </w:rPr>
        <w:t>（2）在额定压力下人工操作手轮开启或关闭阀门的最大作用力不大于300N。</w:t>
      </w:r>
    </w:p>
    <w:p w14:paraId="56DA275B">
      <w:pPr>
        <w:spacing w:line="480" w:lineRule="exact"/>
        <w:ind w:firstLine="420" w:firstLineChars="200"/>
        <w:rPr>
          <w:rFonts w:ascii="宋体" w:hAnsi="宋体" w:cs="宋体"/>
          <w:szCs w:val="21"/>
        </w:rPr>
      </w:pPr>
      <w:r>
        <w:rPr>
          <w:rFonts w:hint="eastAsia" w:ascii="宋体" w:hAnsi="宋体" w:cs="宋体"/>
          <w:szCs w:val="21"/>
        </w:rPr>
        <w:t>（3）所有传动机构的受力部件要能承受2倍的额定力矩而无任何损伤。</w:t>
      </w:r>
    </w:p>
    <w:p w14:paraId="4E11B34F">
      <w:pPr>
        <w:spacing w:line="480" w:lineRule="exact"/>
        <w:ind w:firstLine="420" w:firstLineChars="200"/>
        <w:rPr>
          <w:rFonts w:ascii="宋体" w:hAnsi="宋体" w:cs="宋体"/>
          <w:szCs w:val="21"/>
        </w:rPr>
      </w:pPr>
      <w:r>
        <w:rPr>
          <w:rFonts w:hint="eastAsia" w:ascii="宋体" w:hAnsi="宋体" w:cs="宋体"/>
          <w:szCs w:val="21"/>
        </w:rPr>
        <w:t>2.2.11  螺柱、螺栓、螺母采用低合金钢制造，性能不低于8.8级，镀锌钝化。</w:t>
      </w:r>
    </w:p>
    <w:p w14:paraId="1C18AB2C">
      <w:pPr>
        <w:spacing w:line="480" w:lineRule="exact"/>
        <w:ind w:firstLine="420" w:firstLineChars="200"/>
        <w:rPr>
          <w:rFonts w:ascii="宋体" w:hAnsi="宋体" w:cs="宋体"/>
          <w:szCs w:val="21"/>
        </w:rPr>
      </w:pPr>
      <w:r>
        <w:rPr>
          <w:rFonts w:hint="eastAsia" w:ascii="宋体" w:hAnsi="宋体" w:cs="宋体"/>
          <w:szCs w:val="21"/>
        </w:rPr>
        <w:t>2.2.12  其他部件的材质：防尘盖采用</w:t>
      </w:r>
      <w:r>
        <w:rPr>
          <w:rFonts w:hint="eastAsia" w:ascii="宋体" w:hAnsi="宋体" w:cs="宋体"/>
          <w:szCs w:val="21"/>
          <w:lang w:eastAsia="zh-CN"/>
        </w:rPr>
        <w:t>丁腈橡胶</w:t>
      </w:r>
      <w:r>
        <w:rPr>
          <w:rFonts w:hint="eastAsia" w:ascii="宋体" w:hAnsi="宋体" w:cs="宋体"/>
          <w:szCs w:val="21"/>
        </w:rPr>
        <w:t>，连接螺栓为钢制或镀锌螺栓。上述条款未提及，在阀门维修时需要拆卸又或在阀体内与水接触的零部件、紧固件，均采用不锈钢材料制造。</w:t>
      </w:r>
    </w:p>
    <w:p w14:paraId="0EF3F331">
      <w:pPr>
        <w:spacing w:line="480" w:lineRule="exact"/>
        <w:ind w:firstLine="420" w:firstLineChars="200"/>
        <w:rPr>
          <w:rFonts w:ascii="宋体" w:hAnsi="宋体" w:cs="宋体"/>
          <w:szCs w:val="21"/>
        </w:rPr>
      </w:pPr>
      <w:r>
        <w:rPr>
          <w:rFonts w:hint="eastAsia" w:ascii="宋体" w:hAnsi="宋体" w:cs="宋体"/>
          <w:szCs w:val="21"/>
        </w:rPr>
        <w:t>2.2.13  防腐涂层</w:t>
      </w:r>
    </w:p>
    <w:p w14:paraId="7CF01A12">
      <w:pPr>
        <w:spacing w:line="480" w:lineRule="exact"/>
        <w:ind w:firstLine="420" w:firstLineChars="200"/>
        <w:rPr>
          <w:rFonts w:ascii="宋体" w:hAnsi="宋体" w:cs="宋体"/>
          <w:szCs w:val="21"/>
        </w:rPr>
      </w:pPr>
      <w:r>
        <w:rPr>
          <w:rFonts w:hint="eastAsia" w:ascii="宋体" w:hAnsi="宋体" w:cs="宋体"/>
          <w:szCs w:val="21"/>
        </w:rPr>
        <w:t>阀门内部的防腐涂层要求厚度均匀、色泽均一，涂层表面光洁，无流痕。喷涂防腐涂层前阀体、阀板表面至少喷砂除锈达到Sa2.5级，将铸件加热后再进行静电喷涂无毒环氧树脂粉末工艺，烘干固化后涂层厚度在0.3mm～1.4mm之间。阀门外防腐采用环氧树脂涂料或上述静电喷涂环氧树脂粉末工艺。阀板包胶前也需进行防腐处理。</w:t>
      </w:r>
    </w:p>
    <w:p w14:paraId="6A603013">
      <w:pPr>
        <w:spacing w:line="480" w:lineRule="exact"/>
        <w:ind w:firstLine="420" w:firstLineChars="200"/>
        <w:rPr>
          <w:rFonts w:ascii="宋体" w:hAnsi="宋体" w:cs="宋体"/>
          <w:szCs w:val="21"/>
        </w:rPr>
      </w:pPr>
      <w:r>
        <w:rPr>
          <w:rFonts w:hint="eastAsia" w:ascii="宋体" w:hAnsi="宋体" w:cs="宋体"/>
          <w:szCs w:val="21"/>
        </w:rPr>
        <w:t>2.2.14  采购明细表及上述未规定的阀门技术条件，则按国标规定执行。</w:t>
      </w:r>
    </w:p>
    <w:p w14:paraId="2BA774E3">
      <w:pPr>
        <w:spacing w:line="480" w:lineRule="exact"/>
        <w:ind w:firstLine="420" w:firstLineChars="200"/>
        <w:rPr>
          <w:rFonts w:ascii="宋体" w:hAnsi="宋体" w:cs="宋体"/>
          <w:szCs w:val="21"/>
          <w:highlight w:val="none"/>
        </w:rPr>
      </w:pPr>
      <w:r>
        <w:rPr>
          <w:rFonts w:hint="eastAsia" w:ascii="宋体" w:hAnsi="宋体" w:cs="宋体"/>
          <w:szCs w:val="21"/>
        </w:rPr>
        <w:t xml:space="preserve">2.3  </w:t>
      </w:r>
      <w:r>
        <w:rPr>
          <w:rFonts w:hint="eastAsia" w:ascii="宋体" w:hAnsi="宋体" w:cs="宋体"/>
          <w:szCs w:val="21"/>
          <w:highlight w:val="none"/>
        </w:rPr>
        <w:t>偏心半球阀的技术要求</w:t>
      </w:r>
    </w:p>
    <w:p w14:paraId="0BE200DC">
      <w:pPr>
        <w:spacing w:line="480" w:lineRule="exact"/>
        <w:ind w:firstLine="420" w:firstLineChars="200"/>
        <w:rPr>
          <w:rFonts w:ascii="宋体" w:hAnsi="宋体" w:cs="宋体"/>
          <w:szCs w:val="21"/>
        </w:rPr>
      </w:pPr>
      <w:r>
        <w:rPr>
          <w:rFonts w:hint="eastAsia" w:ascii="宋体" w:hAnsi="宋体" w:cs="宋体"/>
          <w:szCs w:val="21"/>
        </w:rPr>
        <w:t>2.3.1  概述</w:t>
      </w:r>
    </w:p>
    <w:p w14:paraId="1B455A4F">
      <w:pPr>
        <w:spacing w:line="480" w:lineRule="exact"/>
        <w:ind w:firstLine="420" w:firstLineChars="200"/>
        <w:rPr>
          <w:rFonts w:ascii="宋体" w:hAnsi="宋体" w:cs="宋体"/>
          <w:szCs w:val="21"/>
        </w:rPr>
      </w:pPr>
      <w:r>
        <w:rPr>
          <w:rFonts w:hint="eastAsia" w:ascii="宋体" w:hAnsi="宋体" w:cs="宋体"/>
          <w:szCs w:val="21"/>
        </w:rPr>
        <w:t>本阀门安装在输水管道阀井内，手动操作。</w:t>
      </w:r>
    </w:p>
    <w:p w14:paraId="36C09648">
      <w:pPr>
        <w:spacing w:line="480" w:lineRule="exact"/>
        <w:ind w:firstLine="420" w:firstLineChars="200"/>
        <w:rPr>
          <w:rFonts w:ascii="宋体" w:hAnsi="宋体" w:cs="宋体"/>
          <w:szCs w:val="21"/>
        </w:rPr>
      </w:pPr>
      <w:r>
        <w:rPr>
          <w:rFonts w:hint="eastAsia" w:ascii="宋体" w:hAnsi="宋体" w:cs="宋体"/>
          <w:szCs w:val="21"/>
        </w:rPr>
        <w:t>2.3.2  执行国家标准、行业规范</w:t>
      </w:r>
    </w:p>
    <w:p w14:paraId="0DB3E053">
      <w:pPr>
        <w:spacing w:line="480" w:lineRule="exact"/>
        <w:ind w:firstLine="420" w:firstLineChars="200"/>
        <w:rPr>
          <w:rFonts w:ascii="宋体" w:hAnsi="宋体" w:cs="宋体"/>
          <w:szCs w:val="21"/>
        </w:rPr>
      </w:pPr>
      <w:r>
        <w:rPr>
          <w:rFonts w:hint="eastAsia" w:ascii="宋体" w:hAnsi="宋体" w:cs="宋体"/>
          <w:szCs w:val="21"/>
        </w:rPr>
        <w:t>承包人提供的产品，在满足下列标准要求的前提下，应满足或高于本</w:t>
      </w:r>
      <w:r>
        <w:rPr>
          <w:rFonts w:hint="eastAsia" w:ascii="宋体" w:hAnsi="宋体" w:cs="宋体"/>
          <w:szCs w:val="21"/>
          <w:lang w:eastAsia="zh-CN"/>
        </w:rPr>
        <w:t>招选</w:t>
      </w:r>
      <w:r>
        <w:rPr>
          <w:rFonts w:hint="eastAsia" w:ascii="宋体" w:hAnsi="宋体" w:cs="宋体"/>
          <w:szCs w:val="21"/>
        </w:rPr>
        <w:t>技术要求的规定。</w:t>
      </w:r>
    </w:p>
    <w:p w14:paraId="1FBB5540">
      <w:pPr>
        <w:spacing w:line="480" w:lineRule="exact"/>
        <w:ind w:firstLine="420" w:firstLineChars="200"/>
        <w:rPr>
          <w:rFonts w:ascii="宋体" w:hAnsi="宋体" w:cs="宋体"/>
          <w:szCs w:val="21"/>
        </w:rPr>
      </w:pPr>
      <w:r>
        <w:rPr>
          <w:rFonts w:hint="eastAsia" w:ascii="宋体" w:hAnsi="宋体" w:cs="宋体"/>
          <w:szCs w:val="21"/>
        </w:rPr>
        <w:t>阀门的设计符合如下相关标准：</w:t>
      </w:r>
    </w:p>
    <w:p w14:paraId="3D9854E5">
      <w:pPr>
        <w:spacing w:line="480" w:lineRule="exact"/>
        <w:ind w:firstLine="420" w:firstLineChars="200"/>
        <w:rPr>
          <w:rFonts w:ascii="宋体" w:hAnsi="宋体" w:cs="宋体"/>
          <w:szCs w:val="21"/>
        </w:rPr>
      </w:pPr>
      <w:r>
        <w:rPr>
          <w:rFonts w:hint="eastAsia" w:ascii="宋体" w:hAnsi="宋体" w:cs="宋体"/>
          <w:szCs w:val="21"/>
        </w:rPr>
        <w:t>（1）《偏心半球阀》（GB/T 26146-2010）；</w:t>
      </w:r>
    </w:p>
    <w:p w14:paraId="19A7C9E2">
      <w:pPr>
        <w:spacing w:line="480" w:lineRule="exact"/>
        <w:ind w:firstLine="413" w:firstLineChars="197"/>
        <w:rPr>
          <w:rFonts w:ascii="宋体" w:hAnsi="宋体" w:cs="宋体"/>
          <w:szCs w:val="21"/>
        </w:rPr>
      </w:pPr>
      <w:r>
        <w:rPr>
          <w:rFonts w:hint="eastAsia" w:ascii="宋体" w:hAnsi="宋体" w:cs="宋体"/>
          <w:szCs w:val="21"/>
        </w:rPr>
        <w:t>（2）《管道元件 公称压力的定义和选用》（GB/T 1048-2019）；</w:t>
      </w:r>
    </w:p>
    <w:p w14:paraId="33AFD389">
      <w:pPr>
        <w:spacing w:line="480" w:lineRule="exact"/>
        <w:ind w:firstLine="420" w:firstLineChars="200"/>
        <w:rPr>
          <w:rFonts w:ascii="宋体" w:hAnsi="宋体" w:cs="宋体"/>
          <w:szCs w:val="21"/>
        </w:rPr>
      </w:pPr>
      <w:r>
        <w:rPr>
          <w:rFonts w:hint="eastAsia" w:ascii="宋体" w:hAnsi="宋体" w:cs="宋体"/>
          <w:szCs w:val="21"/>
        </w:rPr>
        <w:t>（3）《整体铸铁法兰》（GB/T 17241.6-2008）；</w:t>
      </w:r>
    </w:p>
    <w:p w14:paraId="5740D01E">
      <w:pPr>
        <w:spacing w:line="480" w:lineRule="exact"/>
        <w:ind w:firstLine="420" w:firstLineChars="200"/>
        <w:rPr>
          <w:rFonts w:ascii="宋体" w:hAnsi="宋体" w:cs="宋体"/>
          <w:szCs w:val="21"/>
        </w:rPr>
      </w:pPr>
      <w:r>
        <w:rPr>
          <w:rFonts w:hint="eastAsia" w:ascii="宋体" w:hAnsi="宋体" w:cs="宋体"/>
          <w:szCs w:val="21"/>
        </w:rPr>
        <w:t>（4）《工业阀门 压力试验》（GB/T 13927-2008）；</w:t>
      </w:r>
    </w:p>
    <w:p w14:paraId="2A23BF6B">
      <w:pPr>
        <w:spacing w:line="480" w:lineRule="exact"/>
        <w:ind w:firstLine="420" w:firstLineChars="200"/>
        <w:rPr>
          <w:rFonts w:ascii="宋体" w:hAnsi="宋体" w:cs="宋体"/>
          <w:szCs w:val="21"/>
        </w:rPr>
      </w:pPr>
      <w:r>
        <w:rPr>
          <w:rFonts w:hint="eastAsia" w:ascii="宋体" w:hAnsi="宋体" w:cs="宋体"/>
          <w:szCs w:val="21"/>
        </w:rPr>
        <w:t>（5）《通用阀门 标志》（GB/T 12220-2015）；</w:t>
      </w:r>
    </w:p>
    <w:p w14:paraId="06E4BCC0">
      <w:pPr>
        <w:spacing w:line="480" w:lineRule="exact"/>
        <w:ind w:firstLine="420" w:firstLineChars="200"/>
        <w:rPr>
          <w:rFonts w:ascii="宋体" w:hAnsi="宋体" w:cs="宋体"/>
          <w:szCs w:val="21"/>
        </w:rPr>
      </w:pPr>
      <w:r>
        <w:rPr>
          <w:rFonts w:hint="eastAsia" w:ascii="宋体" w:hAnsi="宋体" w:cs="宋体"/>
          <w:szCs w:val="21"/>
        </w:rPr>
        <w:t>（6）《金属阀门 结构长度》（GB/T 12221-2005）；</w:t>
      </w:r>
    </w:p>
    <w:p w14:paraId="2A9004CC">
      <w:pPr>
        <w:spacing w:line="480" w:lineRule="exact"/>
        <w:ind w:firstLine="420" w:firstLineChars="200"/>
        <w:rPr>
          <w:rFonts w:ascii="宋体" w:hAnsi="宋体" w:cs="宋体"/>
          <w:szCs w:val="21"/>
        </w:rPr>
      </w:pPr>
      <w:r>
        <w:rPr>
          <w:rFonts w:hint="eastAsia" w:ascii="宋体" w:hAnsi="宋体" w:cs="宋体"/>
          <w:szCs w:val="21"/>
        </w:rPr>
        <w:t>（7）《通用阀门 球墨铸铁件技术条件》（GB/T 12227-2005）；</w:t>
      </w:r>
    </w:p>
    <w:p w14:paraId="52030826">
      <w:pPr>
        <w:spacing w:line="480" w:lineRule="exact"/>
        <w:ind w:firstLine="420" w:firstLineChars="200"/>
        <w:rPr>
          <w:rFonts w:ascii="宋体" w:hAnsi="宋体" w:cs="宋体"/>
          <w:szCs w:val="21"/>
        </w:rPr>
      </w:pPr>
      <w:r>
        <w:rPr>
          <w:rFonts w:hint="eastAsia" w:ascii="宋体" w:hAnsi="宋体" w:cs="宋体"/>
          <w:szCs w:val="21"/>
        </w:rPr>
        <w:t>（8）《通用阀门 碳素钢锻件技术条件》（GB/T 12228-2005）；</w:t>
      </w:r>
    </w:p>
    <w:p w14:paraId="15836D96">
      <w:pPr>
        <w:spacing w:line="480" w:lineRule="exact"/>
        <w:ind w:firstLine="420" w:firstLineChars="200"/>
        <w:rPr>
          <w:rFonts w:ascii="宋体" w:hAnsi="宋体" w:cs="宋体"/>
          <w:szCs w:val="21"/>
        </w:rPr>
      </w:pPr>
      <w:r>
        <w:rPr>
          <w:rFonts w:hint="eastAsia" w:ascii="宋体" w:hAnsi="宋体" w:cs="宋体"/>
          <w:szCs w:val="21"/>
        </w:rPr>
        <w:t>（9）《通用阀门 碳素钢铸件技术条件》（GB/T 12229-2005）；</w:t>
      </w:r>
    </w:p>
    <w:p w14:paraId="36A722E8">
      <w:pPr>
        <w:spacing w:line="480" w:lineRule="exact"/>
        <w:ind w:firstLine="420" w:firstLineChars="200"/>
        <w:rPr>
          <w:rFonts w:ascii="宋体" w:hAnsi="宋体" w:cs="宋体"/>
          <w:szCs w:val="21"/>
        </w:rPr>
      </w:pPr>
      <w:r>
        <w:rPr>
          <w:rFonts w:hint="eastAsia" w:ascii="宋体" w:hAnsi="宋体" w:cs="宋体"/>
          <w:szCs w:val="21"/>
        </w:rPr>
        <w:t>（10）《通用阀门 法兰和对焊钢制球阀》（GB/T 12237-1989）；</w:t>
      </w:r>
    </w:p>
    <w:p w14:paraId="3DD3DE63">
      <w:pPr>
        <w:spacing w:line="480" w:lineRule="exact"/>
        <w:ind w:firstLine="420" w:firstLineChars="200"/>
        <w:rPr>
          <w:rFonts w:ascii="宋体" w:hAnsi="宋体" w:cs="宋体"/>
          <w:szCs w:val="21"/>
        </w:rPr>
      </w:pPr>
      <w:r>
        <w:rPr>
          <w:rFonts w:hint="eastAsia" w:ascii="宋体" w:hAnsi="宋体" w:cs="宋体"/>
          <w:szCs w:val="21"/>
        </w:rPr>
        <w:t>（11）《板式平焊钢制管法兰》（GB/T 9119-2010）；</w:t>
      </w:r>
    </w:p>
    <w:p w14:paraId="08F24394">
      <w:pPr>
        <w:spacing w:line="480" w:lineRule="exact"/>
        <w:ind w:firstLine="420" w:firstLineChars="200"/>
        <w:rPr>
          <w:rFonts w:ascii="宋体" w:hAnsi="宋体" w:cs="宋体"/>
          <w:szCs w:val="21"/>
        </w:rPr>
      </w:pPr>
      <w:r>
        <w:rPr>
          <w:rFonts w:hint="eastAsia" w:ascii="宋体" w:hAnsi="宋体" w:cs="宋体"/>
          <w:szCs w:val="21"/>
        </w:rPr>
        <w:t>（12）《不锈钢棒》（GB/T 1220-2007）；</w:t>
      </w:r>
    </w:p>
    <w:p w14:paraId="1285D970">
      <w:pPr>
        <w:spacing w:line="480" w:lineRule="exact"/>
        <w:ind w:left="479" w:leftChars="228"/>
        <w:rPr>
          <w:rFonts w:ascii="宋体" w:hAnsi="宋体" w:cs="宋体"/>
          <w:szCs w:val="21"/>
        </w:rPr>
      </w:pPr>
      <w:r>
        <w:rPr>
          <w:rFonts w:hint="eastAsia" w:ascii="宋体" w:hAnsi="宋体" w:cs="宋体"/>
          <w:szCs w:val="21"/>
        </w:rPr>
        <w:t>（13）《生活饮用水输配水设备及防护材料的安全性评价标准》（GB/T17219-1998）；</w:t>
      </w:r>
    </w:p>
    <w:p w14:paraId="43AB7E99">
      <w:pPr>
        <w:spacing w:line="480" w:lineRule="exact"/>
        <w:ind w:firstLine="420" w:firstLineChars="200"/>
        <w:rPr>
          <w:rFonts w:ascii="宋体" w:hAnsi="宋体" w:cs="宋体"/>
          <w:szCs w:val="21"/>
        </w:rPr>
      </w:pPr>
      <w:r>
        <w:rPr>
          <w:rFonts w:hint="eastAsia" w:ascii="宋体" w:hAnsi="宋体" w:cs="宋体"/>
          <w:szCs w:val="21"/>
        </w:rPr>
        <w:t>（14）《阀门的检验和试验》（GB/T 26480-2011）；</w:t>
      </w:r>
    </w:p>
    <w:p w14:paraId="0360751C">
      <w:pPr>
        <w:spacing w:line="480" w:lineRule="exact"/>
        <w:ind w:left="1103" w:leftChars="225" w:hanging="630" w:hangingChars="300"/>
        <w:rPr>
          <w:rFonts w:ascii="宋体" w:hAnsi="宋体" w:cs="宋体"/>
          <w:szCs w:val="21"/>
        </w:rPr>
      </w:pPr>
      <w:r>
        <w:rPr>
          <w:rFonts w:hint="eastAsia" w:ascii="宋体" w:hAnsi="宋体" w:cs="宋体"/>
          <w:szCs w:val="21"/>
        </w:rPr>
        <w:t>（15）《涂覆涂料前钢材表面处理 表面清洁度的目视评定 第1部分：未涂覆过的钢材表面和全面清除原有涂层后的钢材表面的锈蚀等级和处理等级》（GB/T 8923.1-2011）；</w:t>
      </w:r>
    </w:p>
    <w:p w14:paraId="319A583F">
      <w:pPr>
        <w:spacing w:line="480" w:lineRule="exact"/>
        <w:ind w:left="1103" w:leftChars="225" w:hanging="630" w:hangingChars="300"/>
        <w:rPr>
          <w:rFonts w:ascii="宋体" w:hAnsi="宋体" w:cs="宋体"/>
          <w:szCs w:val="21"/>
        </w:rPr>
      </w:pPr>
      <w:r>
        <w:rPr>
          <w:rFonts w:hint="eastAsia" w:ascii="宋体" w:hAnsi="宋体" w:cs="宋体"/>
          <w:szCs w:val="21"/>
        </w:rPr>
        <w:t>（16）《涂覆涂料前钢材表面处理 表面清洁度的目视评定 第2部分：已涂覆过的钢材表面局部清除原有涂层后的处理等级》（GB/T 8923.2-2008）；</w:t>
      </w:r>
    </w:p>
    <w:p w14:paraId="4F834E9E">
      <w:pPr>
        <w:spacing w:line="480" w:lineRule="exact"/>
        <w:ind w:left="1103" w:leftChars="225" w:hanging="630" w:hangingChars="300"/>
        <w:rPr>
          <w:rFonts w:ascii="宋体" w:hAnsi="宋体" w:cs="宋体"/>
          <w:szCs w:val="21"/>
        </w:rPr>
      </w:pPr>
      <w:r>
        <w:rPr>
          <w:rFonts w:hint="eastAsia" w:ascii="宋体" w:hAnsi="宋体" w:cs="宋体"/>
          <w:szCs w:val="21"/>
        </w:rPr>
        <w:t>（17）《涂覆涂料前钢材表面处理 表面清洁度的目视评定 第3部分：焊缝、边缘和</w:t>
      </w:r>
      <w:r>
        <w:rPr>
          <w:rFonts w:hint="eastAsia" w:ascii="宋体" w:hAnsi="宋体" w:cs="宋体"/>
          <w:szCs w:val="21"/>
          <w:lang w:eastAsia="zh-CN"/>
        </w:rPr>
        <w:t>其他</w:t>
      </w:r>
      <w:r>
        <w:rPr>
          <w:rFonts w:hint="eastAsia" w:ascii="宋体" w:hAnsi="宋体" w:cs="宋体"/>
          <w:szCs w:val="21"/>
        </w:rPr>
        <w:t>区域的表面缺陷处理等级》（GB/T 8923.3-2009）；</w:t>
      </w:r>
    </w:p>
    <w:p w14:paraId="7DFC2E96">
      <w:pPr>
        <w:spacing w:line="480" w:lineRule="exact"/>
        <w:ind w:left="2789" w:leftChars="228" w:hanging="2310" w:hangingChars="1100"/>
        <w:rPr>
          <w:rFonts w:ascii="宋体" w:hAnsi="宋体" w:cs="宋体"/>
          <w:szCs w:val="21"/>
        </w:rPr>
      </w:pPr>
      <w:r>
        <w:rPr>
          <w:rFonts w:hint="eastAsia" w:ascii="宋体" w:hAnsi="宋体" w:cs="宋体"/>
          <w:szCs w:val="21"/>
        </w:rPr>
        <w:t>（18）《橡胶密封圈 给、排水管及污水管道用接口密封圈 材料规范》（GB/T 21873-2008）；</w:t>
      </w:r>
    </w:p>
    <w:p w14:paraId="45488D34">
      <w:pPr>
        <w:spacing w:line="480" w:lineRule="exact"/>
        <w:ind w:firstLine="420" w:firstLineChars="200"/>
        <w:rPr>
          <w:rFonts w:ascii="宋体" w:hAnsi="宋体" w:cs="宋体"/>
          <w:szCs w:val="21"/>
        </w:rPr>
      </w:pPr>
      <w:r>
        <w:rPr>
          <w:rFonts w:hint="eastAsia" w:ascii="宋体" w:hAnsi="宋体" w:cs="宋体"/>
          <w:szCs w:val="21"/>
        </w:rPr>
        <w:t>（19）《工业阀门 供货要求》（JB/T 7928-2014）；</w:t>
      </w:r>
    </w:p>
    <w:p w14:paraId="3FB63A68">
      <w:pPr>
        <w:spacing w:line="480" w:lineRule="exact"/>
        <w:ind w:firstLine="420" w:firstLineChars="200"/>
        <w:rPr>
          <w:rFonts w:ascii="宋体" w:hAnsi="宋体" w:cs="宋体"/>
          <w:szCs w:val="21"/>
        </w:rPr>
      </w:pPr>
      <w:r>
        <w:rPr>
          <w:rFonts w:hint="eastAsia" w:ascii="宋体" w:hAnsi="宋体" w:cs="宋体"/>
          <w:szCs w:val="21"/>
        </w:rPr>
        <w:t>（20）其他现行相关国家标准、行业规范。</w:t>
      </w:r>
    </w:p>
    <w:p w14:paraId="666CE52B">
      <w:pPr>
        <w:spacing w:line="480" w:lineRule="exact"/>
        <w:ind w:firstLine="420" w:firstLineChars="200"/>
        <w:rPr>
          <w:rFonts w:ascii="宋体" w:hAnsi="宋体" w:cs="宋体"/>
          <w:szCs w:val="21"/>
        </w:rPr>
      </w:pPr>
      <w:r>
        <w:rPr>
          <w:rFonts w:hint="eastAsia" w:ascii="宋体" w:hAnsi="宋体" w:cs="宋体"/>
          <w:szCs w:val="21"/>
        </w:rPr>
        <w:t>以上标准或规范若由新标准或规范替代时，则执行有效的新标准或规范。</w:t>
      </w:r>
    </w:p>
    <w:p w14:paraId="639DB5EF">
      <w:pPr>
        <w:spacing w:line="480" w:lineRule="exact"/>
        <w:ind w:firstLine="420" w:firstLineChars="200"/>
        <w:rPr>
          <w:rFonts w:ascii="宋体" w:hAnsi="宋体" w:cs="宋体"/>
          <w:szCs w:val="21"/>
          <w:highlight w:val="none"/>
        </w:rPr>
      </w:pPr>
      <w:r>
        <w:rPr>
          <w:rFonts w:hint="eastAsia" w:ascii="宋体" w:hAnsi="宋体" w:cs="宋体"/>
          <w:szCs w:val="21"/>
          <w:highlight w:val="none"/>
        </w:rPr>
        <w:t>2.3.3  卫生指标</w:t>
      </w:r>
      <w:r>
        <w:rPr>
          <w:rFonts w:hint="eastAsia" w:ascii="宋体" w:hAnsi="宋体" w:cs="宋体"/>
          <w:szCs w:val="21"/>
          <w:highlight w:val="none"/>
          <w:lang w:eastAsia="zh-CN"/>
        </w:rPr>
        <w:t>：</w:t>
      </w:r>
      <w:r>
        <w:rPr>
          <w:rFonts w:hint="eastAsia" w:ascii="宋体" w:hAnsi="宋体" w:cs="宋体"/>
          <w:szCs w:val="21"/>
          <w:highlight w:val="none"/>
        </w:rPr>
        <w:t xml:space="preserve"> 承包人提供的产品，必须获得省级以上(含省级)卫生部门颁发的涉及饮用水卫生安全产品“卫生许可批件”。偏心半球阀所有零部件、密封件、防腐涂料均不得采用可能对自来水造成污染的材料。</w:t>
      </w:r>
    </w:p>
    <w:p w14:paraId="45FC583F">
      <w:pPr>
        <w:spacing w:line="480" w:lineRule="exact"/>
        <w:ind w:firstLine="420" w:firstLineChars="200"/>
        <w:rPr>
          <w:rFonts w:ascii="宋体" w:hAnsi="宋体" w:cs="宋体"/>
          <w:szCs w:val="21"/>
        </w:rPr>
      </w:pPr>
      <w:r>
        <w:rPr>
          <w:rFonts w:hint="eastAsia" w:ascii="宋体" w:hAnsi="宋体" w:cs="宋体"/>
          <w:szCs w:val="21"/>
        </w:rPr>
        <w:t>2.3.4  工作介质、温度</w:t>
      </w:r>
    </w:p>
    <w:p w14:paraId="189D2CE3">
      <w:pPr>
        <w:spacing w:line="480" w:lineRule="exact"/>
        <w:ind w:firstLine="420" w:firstLineChars="200"/>
        <w:rPr>
          <w:rFonts w:ascii="宋体" w:hAnsi="宋体" w:cs="宋体"/>
          <w:szCs w:val="21"/>
        </w:rPr>
      </w:pPr>
      <w:r>
        <w:rPr>
          <w:rFonts w:hint="eastAsia" w:ascii="宋体" w:hAnsi="宋体" w:cs="宋体"/>
          <w:szCs w:val="21"/>
        </w:rPr>
        <w:t xml:space="preserve">工作介质为原水，工作温度0℃～80℃，公称压力为1.0MPa。 </w:t>
      </w:r>
    </w:p>
    <w:p w14:paraId="16249F4B">
      <w:pPr>
        <w:spacing w:line="480" w:lineRule="exact"/>
        <w:ind w:firstLine="420" w:firstLineChars="200"/>
        <w:rPr>
          <w:rFonts w:ascii="宋体" w:hAnsi="宋体" w:cs="宋体"/>
          <w:szCs w:val="21"/>
        </w:rPr>
      </w:pPr>
      <w:r>
        <w:rPr>
          <w:rFonts w:hint="eastAsia" w:ascii="宋体" w:hAnsi="宋体" w:cs="宋体"/>
          <w:szCs w:val="21"/>
        </w:rPr>
        <w:t>2.3.5  型式和说明</w:t>
      </w:r>
    </w:p>
    <w:p w14:paraId="3C52029E">
      <w:pPr>
        <w:spacing w:line="480" w:lineRule="exact"/>
        <w:ind w:firstLine="420" w:firstLineChars="200"/>
        <w:rPr>
          <w:rFonts w:ascii="宋体" w:hAnsi="宋体" w:cs="宋体"/>
          <w:bCs/>
          <w:szCs w:val="21"/>
        </w:rPr>
      </w:pPr>
      <w:r>
        <w:rPr>
          <w:rFonts w:hint="eastAsia" w:ascii="宋体" w:hAnsi="宋体" w:cs="宋体"/>
          <w:szCs w:val="21"/>
        </w:rPr>
        <w:t>（1）</w:t>
      </w:r>
      <w:r>
        <w:rPr>
          <w:rFonts w:hint="eastAsia" w:ascii="宋体" w:hAnsi="宋体" w:cs="宋体"/>
          <w:bCs/>
          <w:szCs w:val="21"/>
        </w:rPr>
        <w:t>偏心半球阀采用上开盖球阀结构，偏心曲轴旋转中心与阀体中心必须有一定的偏心距，密封副为软硬密封，与管道的连接形式为法兰连接，法兰连接尺寸按国家标准执行。</w:t>
      </w:r>
    </w:p>
    <w:p w14:paraId="2872AA9A">
      <w:pPr>
        <w:spacing w:line="480" w:lineRule="exact"/>
        <w:ind w:firstLine="420" w:firstLineChars="200"/>
        <w:rPr>
          <w:rFonts w:ascii="宋体" w:hAnsi="宋体" w:cs="宋体"/>
          <w:bCs/>
          <w:szCs w:val="21"/>
        </w:rPr>
      </w:pPr>
      <w:r>
        <w:rPr>
          <w:rFonts w:hint="eastAsia" w:ascii="宋体" w:hAnsi="宋体" w:cs="宋体"/>
          <w:szCs w:val="21"/>
        </w:rPr>
        <w:t>（2）</w:t>
      </w:r>
      <w:r>
        <w:rPr>
          <w:rFonts w:hint="eastAsia" w:ascii="宋体" w:hAnsi="宋体" w:cs="宋体"/>
          <w:bCs/>
          <w:szCs w:val="21"/>
        </w:rPr>
        <w:t>偏心半球阀由阀体、阀盖、偏心</w:t>
      </w:r>
      <w:r>
        <w:rPr>
          <w:rFonts w:hint="eastAsia" w:ascii="宋体" w:hAnsi="宋体" w:cs="宋体"/>
          <w:szCs w:val="21"/>
        </w:rPr>
        <w:t>曲</w:t>
      </w:r>
      <w:r>
        <w:rPr>
          <w:rFonts w:hint="eastAsia" w:ascii="宋体" w:hAnsi="宋体" w:cs="宋体"/>
          <w:bCs/>
          <w:szCs w:val="21"/>
        </w:rPr>
        <w:t>轴、上（下）轴套、球冠、阀座、压圈等主要部件组成，通过偏心</w:t>
      </w:r>
      <w:r>
        <w:rPr>
          <w:rFonts w:hint="eastAsia" w:ascii="宋体" w:hAnsi="宋体" w:cs="宋体"/>
          <w:szCs w:val="21"/>
        </w:rPr>
        <w:t>曲</w:t>
      </w:r>
      <w:r>
        <w:rPr>
          <w:rFonts w:hint="eastAsia" w:ascii="宋体" w:hAnsi="宋体" w:cs="宋体"/>
          <w:bCs/>
          <w:szCs w:val="21"/>
        </w:rPr>
        <w:t>轴旋转90℃来实现阀门的启闭，起到截断介质的作用。</w:t>
      </w:r>
    </w:p>
    <w:p w14:paraId="1CCAE8C9">
      <w:pPr>
        <w:spacing w:line="480" w:lineRule="exact"/>
        <w:ind w:firstLine="420" w:firstLineChars="200"/>
        <w:rPr>
          <w:rFonts w:ascii="宋体" w:hAnsi="宋体" w:cs="宋体"/>
          <w:bCs/>
          <w:szCs w:val="21"/>
        </w:rPr>
      </w:pPr>
      <w:r>
        <w:rPr>
          <w:rFonts w:hint="eastAsia" w:ascii="宋体" w:hAnsi="宋体" w:cs="宋体"/>
          <w:szCs w:val="21"/>
        </w:rPr>
        <w:t>（3）</w:t>
      </w:r>
      <w:r>
        <w:rPr>
          <w:rFonts w:hint="eastAsia" w:ascii="宋体" w:hAnsi="宋体" w:cs="宋体"/>
          <w:bCs/>
          <w:szCs w:val="21"/>
        </w:rPr>
        <w:t>偏心半球阀采用手动操作。手动方式采用蜗轮蜗杆驱动。</w:t>
      </w:r>
    </w:p>
    <w:p w14:paraId="173393EF">
      <w:pPr>
        <w:spacing w:line="480" w:lineRule="exact"/>
        <w:ind w:firstLine="420" w:firstLineChars="200"/>
        <w:rPr>
          <w:rFonts w:ascii="宋体" w:hAnsi="宋体" w:cs="宋体"/>
          <w:bCs/>
          <w:szCs w:val="21"/>
        </w:rPr>
      </w:pPr>
      <w:r>
        <w:rPr>
          <w:rFonts w:hint="eastAsia" w:ascii="宋体" w:hAnsi="宋体" w:cs="宋体"/>
          <w:szCs w:val="21"/>
        </w:rPr>
        <w:t>（4）</w:t>
      </w:r>
      <w:r>
        <w:rPr>
          <w:rFonts w:hint="eastAsia" w:ascii="宋体" w:hAnsi="宋体" w:cs="宋体"/>
          <w:bCs/>
          <w:szCs w:val="21"/>
        </w:rPr>
        <w:t>偏心半球阀应保证阀门在开启或关闭过程中，阀座和球冠没有相互</w:t>
      </w:r>
      <w:r>
        <w:rPr>
          <w:rFonts w:hint="eastAsia" w:ascii="宋体" w:hAnsi="宋体" w:cs="宋体"/>
          <w:bCs/>
          <w:szCs w:val="21"/>
          <w:lang w:eastAsia="zh-CN"/>
        </w:rPr>
        <w:t>摩擦</w:t>
      </w:r>
      <w:r>
        <w:rPr>
          <w:rFonts w:hint="eastAsia" w:ascii="宋体" w:hAnsi="宋体" w:cs="宋体"/>
          <w:bCs/>
          <w:szCs w:val="21"/>
        </w:rPr>
        <w:t>，以延长阀门使用寿命。</w:t>
      </w:r>
    </w:p>
    <w:p w14:paraId="024B777E">
      <w:pPr>
        <w:spacing w:line="480" w:lineRule="exact"/>
        <w:ind w:firstLine="420" w:firstLineChars="200"/>
        <w:rPr>
          <w:rFonts w:ascii="宋体" w:hAnsi="宋体" w:cs="宋体"/>
          <w:bCs/>
          <w:szCs w:val="21"/>
        </w:rPr>
      </w:pPr>
      <w:r>
        <w:rPr>
          <w:rFonts w:hint="eastAsia" w:ascii="宋体" w:hAnsi="宋体" w:cs="宋体"/>
          <w:szCs w:val="21"/>
        </w:rPr>
        <w:t>（5）</w:t>
      </w:r>
      <w:r>
        <w:rPr>
          <w:rFonts w:hint="eastAsia" w:ascii="宋体" w:hAnsi="宋体" w:cs="宋体"/>
          <w:bCs/>
          <w:szCs w:val="21"/>
        </w:rPr>
        <w:t>偏心半球阀采用软硬密封结构，保证阀门泄漏量不高于国家标准。</w:t>
      </w:r>
    </w:p>
    <w:p w14:paraId="5B53AFC8">
      <w:pPr>
        <w:spacing w:line="480" w:lineRule="exact"/>
        <w:ind w:firstLine="420" w:firstLineChars="200"/>
        <w:rPr>
          <w:rFonts w:ascii="宋体" w:hAnsi="宋体" w:cs="宋体"/>
          <w:bCs/>
          <w:szCs w:val="21"/>
        </w:rPr>
      </w:pPr>
      <w:r>
        <w:rPr>
          <w:rFonts w:hint="eastAsia" w:ascii="宋体" w:hAnsi="宋体" w:cs="宋体"/>
          <w:szCs w:val="21"/>
        </w:rPr>
        <w:t>（6）</w:t>
      </w:r>
      <w:r>
        <w:rPr>
          <w:rFonts w:hint="eastAsia" w:ascii="宋体" w:hAnsi="宋体" w:cs="宋体"/>
          <w:bCs/>
          <w:szCs w:val="21"/>
        </w:rPr>
        <w:t>偏心半球阀应结构合理、强度高，在开启时应保证流道完全畅通，在运行时水损小，在高流速下应无任何振动，壳体试验按国家标准执行。</w:t>
      </w:r>
    </w:p>
    <w:p w14:paraId="7C6DBF11">
      <w:pPr>
        <w:adjustRightInd w:val="0"/>
        <w:snapToGrid w:val="0"/>
        <w:spacing w:line="480" w:lineRule="exact"/>
        <w:ind w:firstLine="420" w:firstLineChars="200"/>
        <w:rPr>
          <w:rFonts w:ascii="宋体" w:hAnsi="宋体" w:cs="宋体"/>
          <w:szCs w:val="21"/>
        </w:rPr>
      </w:pPr>
      <w:r>
        <w:rPr>
          <w:rFonts w:hint="eastAsia" w:ascii="宋体" w:hAnsi="宋体" w:cs="宋体"/>
          <w:szCs w:val="21"/>
        </w:rPr>
        <w:t>（7）阀门具有切削自净功能，在关闭时能将介质中杂物切断，保证阀门正常启闭。</w:t>
      </w:r>
    </w:p>
    <w:p w14:paraId="2F499FAD">
      <w:pPr>
        <w:spacing w:line="480" w:lineRule="exact"/>
        <w:ind w:firstLine="420" w:firstLineChars="200"/>
        <w:rPr>
          <w:rFonts w:ascii="宋体" w:hAnsi="宋体" w:cs="宋体"/>
          <w:bCs/>
          <w:szCs w:val="21"/>
        </w:rPr>
      </w:pPr>
      <w:r>
        <w:rPr>
          <w:rFonts w:hint="eastAsia" w:ascii="宋体" w:hAnsi="宋体" w:cs="宋体"/>
          <w:szCs w:val="21"/>
        </w:rPr>
        <w:t>（8）</w:t>
      </w:r>
      <w:r>
        <w:rPr>
          <w:rFonts w:hint="eastAsia" w:ascii="宋体" w:hAnsi="宋体" w:cs="宋体"/>
          <w:bCs/>
          <w:szCs w:val="21"/>
        </w:rPr>
        <w:t>偏心半球阀应保证阀门能够不从管线上拆卸下来，即可在管线上打开阀盖进行维修。</w:t>
      </w:r>
    </w:p>
    <w:p w14:paraId="426591C8">
      <w:pPr>
        <w:spacing w:line="480" w:lineRule="exact"/>
        <w:ind w:firstLine="420" w:firstLineChars="200"/>
        <w:rPr>
          <w:rFonts w:ascii="宋体" w:hAnsi="宋体" w:cs="宋体"/>
          <w:szCs w:val="21"/>
        </w:rPr>
      </w:pPr>
      <w:r>
        <w:rPr>
          <w:rFonts w:hint="eastAsia" w:ascii="宋体" w:hAnsi="宋体" w:cs="宋体"/>
          <w:szCs w:val="21"/>
        </w:rPr>
        <w:t>2.3.6  主要技术性能</w:t>
      </w:r>
    </w:p>
    <w:p w14:paraId="2911E5BE">
      <w:pPr>
        <w:spacing w:line="480" w:lineRule="exact"/>
        <w:ind w:firstLine="420" w:firstLineChars="200"/>
        <w:rPr>
          <w:rFonts w:ascii="宋体" w:hAnsi="宋体" w:cs="宋体"/>
          <w:szCs w:val="21"/>
        </w:rPr>
      </w:pPr>
      <w:r>
        <w:rPr>
          <w:rFonts w:hint="eastAsia" w:ascii="宋体" w:hAnsi="宋体" w:cs="宋体"/>
          <w:szCs w:val="21"/>
        </w:rPr>
        <w:t>（1）阀体</w:t>
      </w:r>
    </w:p>
    <w:p w14:paraId="6B2307F3">
      <w:pPr>
        <w:spacing w:line="480" w:lineRule="exact"/>
        <w:ind w:firstLine="420" w:firstLineChars="200"/>
        <w:rPr>
          <w:rFonts w:ascii="宋体" w:hAnsi="宋体" w:cs="宋体"/>
          <w:szCs w:val="21"/>
        </w:rPr>
      </w:pPr>
      <w:r>
        <w:rPr>
          <w:rFonts w:hint="eastAsia" w:ascii="宋体" w:hAnsi="宋体" w:cs="宋体"/>
          <w:szCs w:val="21"/>
        </w:rPr>
        <w:t>1）阀体采用球墨铸铁QT450-10或性能更高的材料，铸造工艺为树脂砂型，并符合GB/T 12227-2005的规定，铸件要进行热处理消除内应力。商标及材质牌号铸在阀体上。</w:t>
      </w:r>
    </w:p>
    <w:p w14:paraId="52CE0DF9">
      <w:pPr>
        <w:adjustRightInd w:val="0"/>
        <w:snapToGrid w:val="0"/>
        <w:spacing w:line="480" w:lineRule="exact"/>
        <w:ind w:firstLine="420" w:firstLineChars="200"/>
        <w:rPr>
          <w:rFonts w:ascii="宋体" w:hAnsi="宋体" w:cs="宋体"/>
          <w:szCs w:val="21"/>
        </w:rPr>
      </w:pPr>
      <w:r>
        <w:rPr>
          <w:rFonts w:hint="eastAsia" w:ascii="宋体" w:hAnsi="宋体" w:cs="宋体"/>
          <w:szCs w:val="21"/>
        </w:rPr>
        <w:t>2）在阀体设计符合流体性能要求，采用</w:t>
      </w:r>
      <w:r>
        <w:rPr>
          <w:rFonts w:hint="eastAsia" w:ascii="宋体" w:hAnsi="宋体" w:cs="宋体"/>
          <w:szCs w:val="21"/>
          <w:lang w:eastAsia="zh-CN"/>
        </w:rPr>
        <w:t>倒</w:t>
      </w:r>
      <w:r>
        <w:rPr>
          <w:rFonts w:hint="eastAsia" w:ascii="宋体" w:hAnsi="宋体" w:cs="宋体"/>
          <w:szCs w:val="21"/>
        </w:rPr>
        <w:t>圆光滑</w:t>
      </w:r>
      <w:r>
        <w:rPr>
          <w:rFonts w:hint="eastAsia" w:ascii="宋体" w:hAnsi="宋体" w:cs="宋体"/>
          <w:szCs w:val="21"/>
          <w:lang w:eastAsia="zh-CN"/>
        </w:rPr>
        <w:t>过渡</w:t>
      </w:r>
      <w:r>
        <w:rPr>
          <w:rFonts w:hint="eastAsia" w:ascii="宋体" w:hAnsi="宋体" w:cs="宋体"/>
          <w:szCs w:val="21"/>
        </w:rPr>
        <w:t>结构，以减小流阻。</w:t>
      </w:r>
    </w:p>
    <w:p w14:paraId="4E0D0E33">
      <w:pPr>
        <w:spacing w:line="480" w:lineRule="exact"/>
        <w:ind w:firstLine="420" w:firstLineChars="200"/>
        <w:rPr>
          <w:rFonts w:ascii="宋体" w:hAnsi="宋体" w:cs="宋体"/>
          <w:szCs w:val="21"/>
        </w:rPr>
      </w:pPr>
      <w:r>
        <w:rPr>
          <w:rFonts w:hint="eastAsia" w:ascii="宋体" w:hAnsi="宋体" w:cs="宋体"/>
          <w:szCs w:val="21"/>
        </w:rPr>
        <w:t>3）法兰材质与阀体一致，并与阀体铸为一体，法兰要符合GB/T 17241.6-2008的规定。</w:t>
      </w:r>
    </w:p>
    <w:p w14:paraId="21623759">
      <w:pPr>
        <w:spacing w:line="480" w:lineRule="exact"/>
        <w:ind w:firstLine="420" w:firstLineChars="200"/>
        <w:rPr>
          <w:rFonts w:ascii="宋体" w:hAnsi="宋体" w:cs="宋体"/>
          <w:szCs w:val="21"/>
        </w:rPr>
      </w:pPr>
      <w:r>
        <w:rPr>
          <w:rFonts w:hint="eastAsia" w:ascii="宋体" w:hAnsi="宋体" w:cs="宋体"/>
          <w:szCs w:val="21"/>
        </w:rPr>
        <w:t>4）阀体有支承脚。</w:t>
      </w:r>
    </w:p>
    <w:p w14:paraId="391B252B">
      <w:pPr>
        <w:spacing w:line="480" w:lineRule="exact"/>
        <w:ind w:firstLine="420" w:firstLineChars="200"/>
        <w:rPr>
          <w:rFonts w:ascii="宋体" w:hAnsi="宋体" w:cs="宋体"/>
          <w:szCs w:val="21"/>
        </w:rPr>
      </w:pPr>
      <w:r>
        <w:rPr>
          <w:rFonts w:hint="eastAsia" w:ascii="宋体" w:hAnsi="宋体" w:cs="宋体"/>
          <w:szCs w:val="21"/>
        </w:rPr>
        <w:t>（2）阀杆</w:t>
      </w:r>
    </w:p>
    <w:p w14:paraId="49CF529B">
      <w:pPr>
        <w:adjustRightInd w:val="0"/>
        <w:snapToGrid w:val="0"/>
        <w:spacing w:line="480" w:lineRule="exact"/>
        <w:ind w:firstLine="420" w:firstLineChars="200"/>
        <w:rPr>
          <w:rFonts w:ascii="宋体" w:hAnsi="宋体" w:cs="宋体"/>
          <w:szCs w:val="21"/>
        </w:rPr>
      </w:pPr>
      <w:r>
        <w:rPr>
          <w:rFonts w:hint="eastAsia" w:ascii="宋体" w:hAnsi="宋体" w:cs="宋体"/>
          <w:szCs w:val="21"/>
        </w:rPr>
        <w:t>1）阀杆设计具有自保特功能，在有介质压力作用下，拆开阀杆填料时，阀杆不会脱出。</w:t>
      </w:r>
    </w:p>
    <w:p w14:paraId="5778857B">
      <w:pPr>
        <w:adjustRightInd w:val="0"/>
        <w:snapToGrid w:val="0"/>
        <w:spacing w:line="480" w:lineRule="exact"/>
        <w:ind w:firstLine="457" w:firstLineChars="218"/>
        <w:rPr>
          <w:rFonts w:ascii="宋体" w:hAnsi="宋体" w:cs="宋体"/>
          <w:szCs w:val="21"/>
        </w:rPr>
      </w:pPr>
      <w:r>
        <w:rPr>
          <w:rFonts w:hint="eastAsia" w:ascii="宋体" w:hAnsi="宋体" w:cs="宋体"/>
          <w:szCs w:val="21"/>
        </w:rPr>
        <w:t>2）阀杆与球冠可制成一体，也可用键连接，阀杆的最小截面及与球体的连接面（包括键）按最大操作扭矩再加30%进行设计确保阀轴强度。</w:t>
      </w:r>
    </w:p>
    <w:p w14:paraId="48B2D217">
      <w:pPr>
        <w:adjustRightInd w:val="0"/>
        <w:snapToGrid w:val="0"/>
        <w:spacing w:line="480" w:lineRule="exact"/>
        <w:ind w:firstLine="457" w:firstLineChars="218"/>
        <w:rPr>
          <w:rFonts w:ascii="宋体" w:hAnsi="宋体" w:cs="宋体"/>
          <w:szCs w:val="21"/>
        </w:rPr>
      </w:pPr>
      <w:r>
        <w:rPr>
          <w:rFonts w:hint="eastAsia" w:ascii="宋体" w:hAnsi="宋体" w:cs="宋体"/>
          <w:szCs w:val="21"/>
        </w:rPr>
        <w:t>3）阀杆的轴套采用自润滑复合衬套，使用时不要加润滑油。</w:t>
      </w:r>
    </w:p>
    <w:p w14:paraId="2523491C">
      <w:pPr>
        <w:adjustRightInd w:val="0"/>
        <w:snapToGrid w:val="0"/>
        <w:spacing w:line="480" w:lineRule="exact"/>
        <w:ind w:firstLine="457" w:firstLineChars="218"/>
        <w:rPr>
          <w:rFonts w:ascii="宋体" w:hAnsi="宋体" w:cs="宋体"/>
          <w:szCs w:val="21"/>
        </w:rPr>
      </w:pPr>
      <w:r>
        <w:rPr>
          <w:rFonts w:hint="eastAsia" w:ascii="宋体" w:hAnsi="宋体" w:cs="宋体"/>
          <w:szCs w:val="21"/>
        </w:rPr>
        <w:t>4）曲轴与密封件（球冠）定位，在阀杆旋转时密封件（球冠）无任何松动。</w:t>
      </w:r>
    </w:p>
    <w:p w14:paraId="5BC08A26">
      <w:pPr>
        <w:adjustRightInd w:val="0"/>
        <w:snapToGrid w:val="0"/>
        <w:spacing w:line="480" w:lineRule="exact"/>
        <w:ind w:firstLine="457" w:firstLineChars="218"/>
        <w:rPr>
          <w:rFonts w:ascii="宋体" w:hAnsi="宋体" w:cs="宋体"/>
          <w:szCs w:val="21"/>
        </w:rPr>
      </w:pPr>
      <w:r>
        <w:rPr>
          <w:rFonts w:hint="eastAsia" w:ascii="宋体" w:hAnsi="宋体" w:cs="宋体"/>
          <w:szCs w:val="21"/>
        </w:rPr>
        <w:t>5）阀杆旋转中心与阀体进出口中心有一偏心距，减少密封面磨损的结构。</w:t>
      </w:r>
    </w:p>
    <w:p w14:paraId="7CE595DB">
      <w:pPr>
        <w:adjustRightInd w:val="0"/>
        <w:snapToGrid w:val="0"/>
        <w:spacing w:line="480" w:lineRule="exact"/>
        <w:ind w:firstLine="420" w:firstLineChars="200"/>
        <w:rPr>
          <w:rFonts w:ascii="宋体" w:hAnsi="宋体" w:cs="宋体"/>
          <w:szCs w:val="21"/>
        </w:rPr>
      </w:pPr>
      <w:r>
        <w:rPr>
          <w:rFonts w:hint="eastAsia" w:ascii="宋体" w:hAnsi="宋体" w:cs="宋体"/>
          <w:szCs w:val="21"/>
        </w:rPr>
        <w:t>（3）壳体强度及密封性要求</w:t>
      </w:r>
    </w:p>
    <w:p w14:paraId="4625106E">
      <w:pPr>
        <w:adjustRightInd w:val="0"/>
        <w:snapToGrid w:val="0"/>
        <w:spacing w:line="480" w:lineRule="exact"/>
        <w:ind w:firstLine="457" w:firstLineChars="218"/>
        <w:rPr>
          <w:rFonts w:ascii="宋体" w:hAnsi="宋体" w:cs="宋体"/>
          <w:szCs w:val="21"/>
        </w:rPr>
      </w:pPr>
      <w:r>
        <w:rPr>
          <w:rFonts w:hint="eastAsia" w:ascii="宋体" w:hAnsi="宋体" w:cs="宋体"/>
          <w:szCs w:val="21"/>
        </w:rPr>
        <w:t>球阀的壳体强度符合GB/T 13927-2008的规定，金属密封球阀密封试验的最大允许泄漏量按GB/T 13927-2008中C级要求。</w:t>
      </w:r>
    </w:p>
    <w:p w14:paraId="53757B89">
      <w:pPr>
        <w:spacing w:line="480" w:lineRule="exact"/>
        <w:ind w:firstLine="420" w:firstLineChars="200"/>
        <w:rPr>
          <w:rFonts w:ascii="宋体" w:hAnsi="宋体" w:cs="宋体"/>
          <w:szCs w:val="21"/>
        </w:rPr>
      </w:pPr>
      <w:r>
        <w:rPr>
          <w:rFonts w:hint="eastAsia" w:ascii="宋体" w:hAnsi="宋体" w:cs="宋体"/>
          <w:szCs w:val="21"/>
        </w:rPr>
        <w:t>（4）螺柱、螺栓、螺母采用低合金钢制造，性能不低于8.8级，镀锌钝化。</w:t>
      </w:r>
    </w:p>
    <w:p w14:paraId="0CC2E5C5">
      <w:pPr>
        <w:adjustRightInd w:val="0"/>
        <w:snapToGrid w:val="0"/>
        <w:spacing w:line="480" w:lineRule="exact"/>
        <w:ind w:firstLine="420" w:firstLineChars="200"/>
        <w:rPr>
          <w:rFonts w:ascii="宋体" w:hAnsi="宋体" w:cs="宋体"/>
          <w:szCs w:val="21"/>
        </w:rPr>
      </w:pPr>
      <w:r>
        <w:rPr>
          <w:rFonts w:hint="eastAsia" w:ascii="宋体" w:hAnsi="宋体" w:cs="宋体"/>
          <w:szCs w:val="21"/>
        </w:rPr>
        <w:t>（5）操作</w:t>
      </w:r>
    </w:p>
    <w:p w14:paraId="333DE8E8">
      <w:pPr>
        <w:adjustRightInd w:val="0"/>
        <w:snapToGrid w:val="0"/>
        <w:spacing w:line="480" w:lineRule="exact"/>
        <w:ind w:firstLine="420" w:firstLineChars="200"/>
        <w:rPr>
          <w:rFonts w:ascii="宋体" w:hAnsi="宋体" w:cs="宋体"/>
          <w:szCs w:val="21"/>
        </w:rPr>
      </w:pPr>
      <w:r>
        <w:rPr>
          <w:rFonts w:hint="eastAsia" w:ascii="宋体" w:hAnsi="宋体" w:cs="宋体"/>
          <w:szCs w:val="21"/>
        </w:rPr>
        <w:t>1）机械性能试验</w:t>
      </w:r>
    </w:p>
    <w:p w14:paraId="4C0C84E4">
      <w:pPr>
        <w:adjustRightInd w:val="0"/>
        <w:snapToGrid w:val="0"/>
        <w:spacing w:line="480" w:lineRule="exact"/>
        <w:ind w:firstLine="525" w:firstLineChars="250"/>
        <w:rPr>
          <w:rFonts w:ascii="宋体" w:hAnsi="宋体" w:cs="宋体"/>
          <w:szCs w:val="21"/>
        </w:rPr>
      </w:pPr>
      <w:r>
        <w:rPr>
          <w:rFonts w:hint="eastAsia" w:ascii="宋体" w:hAnsi="宋体" w:cs="宋体"/>
          <w:szCs w:val="21"/>
        </w:rPr>
        <w:t>a.启闭球阀的最大手轮力应小于200N；</w:t>
      </w:r>
    </w:p>
    <w:p w14:paraId="09356DBC">
      <w:pPr>
        <w:adjustRightInd w:val="0"/>
        <w:snapToGrid w:val="0"/>
        <w:spacing w:line="480" w:lineRule="exact"/>
        <w:ind w:firstLine="525" w:firstLineChars="250"/>
        <w:rPr>
          <w:rFonts w:ascii="宋体" w:hAnsi="宋体" w:cs="宋体"/>
          <w:szCs w:val="21"/>
        </w:rPr>
      </w:pPr>
      <w:r>
        <w:rPr>
          <w:rFonts w:hint="eastAsia" w:ascii="宋体" w:hAnsi="宋体" w:cs="宋体"/>
          <w:szCs w:val="21"/>
        </w:rPr>
        <w:t>b.球阀的机械性能要求球阀动作灵敏，无卡阻现象。</w:t>
      </w:r>
    </w:p>
    <w:p w14:paraId="33D1D5C5">
      <w:pPr>
        <w:adjustRightInd w:val="0"/>
        <w:snapToGrid w:val="0"/>
        <w:spacing w:line="480" w:lineRule="exact"/>
        <w:ind w:firstLine="420" w:firstLineChars="200"/>
        <w:rPr>
          <w:rFonts w:ascii="宋体" w:hAnsi="宋体" w:cs="宋体"/>
          <w:szCs w:val="21"/>
        </w:rPr>
      </w:pPr>
      <w:r>
        <w:rPr>
          <w:rFonts w:hint="eastAsia" w:ascii="宋体" w:hAnsi="宋体" w:cs="宋体"/>
          <w:szCs w:val="21"/>
        </w:rPr>
        <w:t>2）在手轮上有“开”或 “关”字样及旋转方向的永久性标志。</w:t>
      </w:r>
    </w:p>
    <w:p w14:paraId="51471FC5">
      <w:pPr>
        <w:adjustRightInd w:val="0"/>
        <w:snapToGrid w:val="0"/>
        <w:spacing w:line="480" w:lineRule="exact"/>
        <w:ind w:firstLine="420" w:firstLineChars="200"/>
        <w:rPr>
          <w:rFonts w:ascii="宋体" w:hAnsi="宋体" w:cs="宋体"/>
          <w:szCs w:val="21"/>
        </w:rPr>
      </w:pPr>
      <w:r>
        <w:rPr>
          <w:rFonts w:hint="eastAsia" w:ascii="宋体" w:hAnsi="宋体" w:cs="宋体"/>
          <w:szCs w:val="21"/>
        </w:rPr>
        <w:t>3）手轮应安装牢固，并在需要时可方便地拆卸和更换。</w:t>
      </w:r>
    </w:p>
    <w:p w14:paraId="18D82C42">
      <w:pPr>
        <w:adjustRightInd w:val="0"/>
        <w:snapToGrid w:val="0"/>
        <w:spacing w:line="480" w:lineRule="exact"/>
        <w:ind w:firstLine="420" w:firstLineChars="200"/>
        <w:rPr>
          <w:rFonts w:ascii="宋体" w:hAnsi="宋体" w:cs="宋体"/>
          <w:szCs w:val="21"/>
        </w:rPr>
      </w:pPr>
      <w:r>
        <w:rPr>
          <w:rFonts w:hint="eastAsia" w:ascii="宋体" w:hAnsi="宋体" w:cs="宋体"/>
          <w:szCs w:val="21"/>
        </w:rPr>
        <w:t>4）阀门有全开、全关的限位结构和显示阀门开启和关闭位置的标识。</w:t>
      </w:r>
    </w:p>
    <w:p w14:paraId="3791FEC9">
      <w:pPr>
        <w:adjustRightInd w:val="0"/>
        <w:snapToGrid w:val="0"/>
        <w:spacing w:line="480" w:lineRule="exact"/>
        <w:ind w:firstLine="420" w:firstLineChars="200"/>
        <w:rPr>
          <w:rFonts w:ascii="宋体" w:hAnsi="宋体" w:cs="宋体"/>
          <w:szCs w:val="21"/>
        </w:rPr>
      </w:pPr>
      <w:r>
        <w:rPr>
          <w:rFonts w:hint="eastAsia" w:ascii="宋体" w:hAnsi="宋体" w:cs="宋体"/>
          <w:szCs w:val="21"/>
        </w:rPr>
        <w:t>5）阀体上有标明阀门承压方向的指示。</w:t>
      </w:r>
    </w:p>
    <w:p w14:paraId="6F666C6C">
      <w:pPr>
        <w:spacing w:line="480" w:lineRule="exact"/>
        <w:ind w:firstLine="420" w:firstLineChars="200"/>
        <w:rPr>
          <w:rFonts w:ascii="宋体" w:hAnsi="宋体" w:cs="宋体"/>
          <w:szCs w:val="21"/>
        </w:rPr>
      </w:pPr>
      <w:r>
        <w:rPr>
          <w:rFonts w:hint="eastAsia" w:ascii="宋体" w:hAnsi="宋体" w:cs="宋体"/>
          <w:szCs w:val="21"/>
        </w:rPr>
        <w:t>2.3.7 主要零部件材料</w:t>
      </w:r>
    </w:p>
    <w:tbl>
      <w:tblPr>
        <w:tblStyle w:val="31"/>
        <w:tblW w:w="821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19"/>
        <w:gridCol w:w="753"/>
        <w:gridCol w:w="2160"/>
        <w:gridCol w:w="720"/>
        <w:gridCol w:w="2160"/>
        <w:gridCol w:w="1800"/>
      </w:tblGrid>
      <w:tr w14:paraId="7F7BF9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jc w:val="center"/>
        </w:trPr>
        <w:tc>
          <w:tcPr>
            <w:tcW w:w="619" w:type="dxa"/>
            <w:vAlign w:val="center"/>
          </w:tcPr>
          <w:p w14:paraId="09D89B66">
            <w:pPr>
              <w:spacing w:line="240" w:lineRule="exact"/>
              <w:ind w:left="-105" w:leftChars="-50" w:right="-105" w:rightChars="-50"/>
              <w:jc w:val="center"/>
              <w:rPr>
                <w:rFonts w:ascii="宋体" w:hAnsi="宋体" w:cs="宋体"/>
                <w:szCs w:val="21"/>
              </w:rPr>
            </w:pPr>
            <w:r>
              <w:rPr>
                <w:rFonts w:hint="eastAsia" w:ascii="宋体" w:hAnsi="宋体" w:cs="宋体"/>
                <w:szCs w:val="21"/>
              </w:rPr>
              <w:t>序号</w:t>
            </w:r>
          </w:p>
        </w:tc>
        <w:tc>
          <w:tcPr>
            <w:tcW w:w="753" w:type="dxa"/>
            <w:vAlign w:val="center"/>
          </w:tcPr>
          <w:p w14:paraId="78EEDF7B">
            <w:pPr>
              <w:spacing w:line="240" w:lineRule="exact"/>
              <w:jc w:val="center"/>
              <w:rPr>
                <w:rFonts w:ascii="宋体" w:hAnsi="宋体" w:cs="宋体"/>
                <w:szCs w:val="21"/>
              </w:rPr>
            </w:pPr>
            <w:r>
              <w:rPr>
                <w:rFonts w:hint="eastAsia" w:ascii="宋体" w:hAnsi="宋体" w:cs="宋体"/>
                <w:szCs w:val="21"/>
              </w:rPr>
              <w:t>名称</w:t>
            </w:r>
          </w:p>
        </w:tc>
        <w:tc>
          <w:tcPr>
            <w:tcW w:w="2160" w:type="dxa"/>
            <w:vAlign w:val="center"/>
          </w:tcPr>
          <w:p w14:paraId="3A825FA2">
            <w:pPr>
              <w:spacing w:line="240" w:lineRule="exact"/>
              <w:ind w:left="-105" w:leftChars="-50" w:right="-105" w:rightChars="-50"/>
              <w:jc w:val="center"/>
              <w:rPr>
                <w:rFonts w:ascii="宋体" w:hAnsi="宋体" w:cs="宋体"/>
                <w:szCs w:val="21"/>
              </w:rPr>
            </w:pPr>
            <w:r>
              <w:rPr>
                <w:rFonts w:hint="eastAsia" w:ascii="宋体" w:hAnsi="宋体" w:cs="宋体"/>
                <w:szCs w:val="21"/>
              </w:rPr>
              <w:t>材质</w:t>
            </w:r>
          </w:p>
        </w:tc>
        <w:tc>
          <w:tcPr>
            <w:tcW w:w="720" w:type="dxa"/>
            <w:vAlign w:val="center"/>
          </w:tcPr>
          <w:p w14:paraId="40076581">
            <w:pPr>
              <w:spacing w:line="240" w:lineRule="exact"/>
              <w:jc w:val="center"/>
              <w:rPr>
                <w:rFonts w:ascii="宋体" w:hAnsi="宋体" w:cs="宋体"/>
                <w:szCs w:val="21"/>
              </w:rPr>
            </w:pPr>
            <w:r>
              <w:rPr>
                <w:rFonts w:hint="eastAsia" w:ascii="宋体" w:hAnsi="宋体" w:cs="宋体"/>
                <w:szCs w:val="21"/>
              </w:rPr>
              <w:t>序号</w:t>
            </w:r>
          </w:p>
        </w:tc>
        <w:tc>
          <w:tcPr>
            <w:tcW w:w="2160" w:type="dxa"/>
            <w:vAlign w:val="center"/>
          </w:tcPr>
          <w:p w14:paraId="7B09C7AE">
            <w:pPr>
              <w:spacing w:line="240" w:lineRule="exact"/>
              <w:jc w:val="center"/>
              <w:rPr>
                <w:rFonts w:ascii="宋体" w:hAnsi="宋体" w:cs="宋体"/>
                <w:szCs w:val="21"/>
              </w:rPr>
            </w:pPr>
            <w:r>
              <w:rPr>
                <w:rFonts w:hint="eastAsia" w:ascii="宋体" w:hAnsi="宋体" w:cs="宋体"/>
                <w:szCs w:val="21"/>
              </w:rPr>
              <w:t>名称</w:t>
            </w:r>
          </w:p>
        </w:tc>
        <w:tc>
          <w:tcPr>
            <w:tcW w:w="1800" w:type="dxa"/>
            <w:vAlign w:val="center"/>
          </w:tcPr>
          <w:p w14:paraId="038B0A10">
            <w:pPr>
              <w:spacing w:line="240" w:lineRule="exact"/>
              <w:jc w:val="center"/>
              <w:rPr>
                <w:rFonts w:ascii="宋体" w:hAnsi="宋体" w:cs="宋体"/>
                <w:szCs w:val="21"/>
              </w:rPr>
            </w:pPr>
            <w:r>
              <w:rPr>
                <w:rFonts w:hint="eastAsia" w:ascii="宋体" w:hAnsi="宋体" w:cs="宋体"/>
                <w:szCs w:val="21"/>
              </w:rPr>
              <w:t>材质</w:t>
            </w:r>
          </w:p>
        </w:tc>
      </w:tr>
      <w:tr w14:paraId="0DF48C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jc w:val="center"/>
        </w:trPr>
        <w:tc>
          <w:tcPr>
            <w:tcW w:w="619" w:type="dxa"/>
            <w:vAlign w:val="center"/>
          </w:tcPr>
          <w:p w14:paraId="184B9891">
            <w:pPr>
              <w:spacing w:line="240" w:lineRule="exact"/>
              <w:jc w:val="center"/>
              <w:rPr>
                <w:rFonts w:ascii="宋体" w:hAnsi="宋体" w:cs="宋体"/>
                <w:szCs w:val="21"/>
              </w:rPr>
            </w:pPr>
            <w:r>
              <w:rPr>
                <w:rFonts w:hint="eastAsia" w:ascii="宋体" w:hAnsi="宋体" w:cs="宋体"/>
                <w:szCs w:val="21"/>
              </w:rPr>
              <w:t>1</w:t>
            </w:r>
          </w:p>
        </w:tc>
        <w:tc>
          <w:tcPr>
            <w:tcW w:w="753" w:type="dxa"/>
            <w:vAlign w:val="center"/>
          </w:tcPr>
          <w:p w14:paraId="6CE6D699">
            <w:pPr>
              <w:spacing w:line="240" w:lineRule="exact"/>
              <w:jc w:val="center"/>
              <w:rPr>
                <w:rFonts w:ascii="宋体" w:hAnsi="宋体" w:cs="宋体"/>
                <w:szCs w:val="21"/>
              </w:rPr>
            </w:pPr>
            <w:r>
              <w:rPr>
                <w:rFonts w:hint="eastAsia" w:ascii="宋体" w:hAnsi="宋体" w:cs="宋体"/>
                <w:szCs w:val="21"/>
              </w:rPr>
              <w:t>阀体</w:t>
            </w:r>
          </w:p>
        </w:tc>
        <w:tc>
          <w:tcPr>
            <w:tcW w:w="2160" w:type="dxa"/>
            <w:vAlign w:val="center"/>
          </w:tcPr>
          <w:p w14:paraId="0A87BC90">
            <w:pPr>
              <w:spacing w:line="240" w:lineRule="exact"/>
              <w:ind w:left="-105" w:leftChars="-50" w:right="-105" w:rightChars="-50"/>
              <w:jc w:val="center"/>
              <w:rPr>
                <w:rFonts w:ascii="宋体" w:hAnsi="宋体" w:cs="宋体"/>
                <w:szCs w:val="21"/>
              </w:rPr>
            </w:pPr>
            <w:r>
              <w:rPr>
                <w:rFonts w:hint="eastAsia" w:ascii="宋体" w:hAnsi="宋体" w:cs="宋体"/>
                <w:szCs w:val="21"/>
              </w:rPr>
              <w:t>球墨铸铁QT450-10</w:t>
            </w:r>
          </w:p>
        </w:tc>
        <w:tc>
          <w:tcPr>
            <w:tcW w:w="720" w:type="dxa"/>
            <w:vAlign w:val="center"/>
          </w:tcPr>
          <w:p w14:paraId="11B87B0F">
            <w:pPr>
              <w:spacing w:line="240" w:lineRule="exact"/>
              <w:jc w:val="center"/>
              <w:rPr>
                <w:rFonts w:ascii="宋体" w:hAnsi="宋体" w:cs="宋体"/>
                <w:szCs w:val="21"/>
              </w:rPr>
            </w:pPr>
            <w:r>
              <w:rPr>
                <w:rFonts w:hint="eastAsia" w:ascii="宋体" w:hAnsi="宋体" w:cs="宋体"/>
                <w:szCs w:val="21"/>
              </w:rPr>
              <w:t>7</w:t>
            </w:r>
          </w:p>
        </w:tc>
        <w:tc>
          <w:tcPr>
            <w:tcW w:w="2160" w:type="dxa"/>
            <w:vAlign w:val="center"/>
          </w:tcPr>
          <w:p w14:paraId="1C176337">
            <w:pPr>
              <w:spacing w:line="240" w:lineRule="exact"/>
              <w:jc w:val="center"/>
              <w:rPr>
                <w:rFonts w:ascii="宋体" w:hAnsi="宋体" w:cs="宋体"/>
                <w:szCs w:val="21"/>
              </w:rPr>
            </w:pPr>
            <w:r>
              <w:rPr>
                <w:rFonts w:hint="eastAsia" w:ascii="宋体" w:hAnsi="宋体" w:cs="宋体"/>
                <w:szCs w:val="21"/>
              </w:rPr>
              <w:t>球冠</w:t>
            </w:r>
          </w:p>
        </w:tc>
        <w:tc>
          <w:tcPr>
            <w:tcW w:w="1800" w:type="dxa"/>
            <w:vAlign w:val="center"/>
          </w:tcPr>
          <w:p w14:paraId="4BC713E3">
            <w:pPr>
              <w:spacing w:line="240" w:lineRule="exact"/>
              <w:ind w:left="-105" w:leftChars="-50" w:right="-105" w:rightChars="-50"/>
              <w:jc w:val="center"/>
              <w:rPr>
                <w:rFonts w:ascii="宋体" w:hAnsi="宋体" w:cs="宋体"/>
                <w:szCs w:val="21"/>
              </w:rPr>
            </w:pPr>
            <w:r>
              <w:rPr>
                <w:rFonts w:hint="eastAsia" w:ascii="宋体" w:hAnsi="宋体" w:cs="宋体"/>
                <w:szCs w:val="21"/>
              </w:rPr>
              <w:t>不锈钢2Cr13</w:t>
            </w:r>
          </w:p>
        </w:tc>
      </w:tr>
      <w:tr w14:paraId="2A8710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jc w:val="center"/>
        </w:trPr>
        <w:tc>
          <w:tcPr>
            <w:tcW w:w="619" w:type="dxa"/>
            <w:vAlign w:val="center"/>
          </w:tcPr>
          <w:p w14:paraId="7412E63B">
            <w:pPr>
              <w:spacing w:line="240" w:lineRule="exact"/>
              <w:jc w:val="center"/>
              <w:rPr>
                <w:rFonts w:ascii="宋体" w:hAnsi="宋体" w:cs="宋体"/>
                <w:szCs w:val="21"/>
              </w:rPr>
            </w:pPr>
            <w:r>
              <w:rPr>
                <w:rFonts w:hint="eastAsia" w:ascii="宋体" w:hAnsi="宋体" w:cs="宋体"/>
                <w:szCs w:val="21"/>
              </w:rPr>
              <w:t>2</w:t>
            </w:r>
          </w:p>
        </w:tc>
        <w:tc>
          <w:tcPr>
            <w:tcW w:w="753" w:type="dxa"/>
            <w:vAlign w:val="center"/>
          </w:tcPr>
          <w:p w14:paraId="6AAE29CF">
            <w:pPr>
              <w:spacing w:line="240" w:lineRule="exact"/>
              <w:jc w:val="center"/>
              <w:rPr>
                <w:rFonts w:ascii="宋体" w:hAnsi="宋体" w:cs="宋体"/>
                <w:szCs w:val="21"/>
              </w:rPr>
            </w:pPr>
            <w:r>
              <w:rPr>
                <w:rFonts w:hint="eastAsia" w:ascii="宋体" w:hAnsi="宋体" w:cs="宋体"/>
                <w:szCs w:val="21"/>
              </w:rPr>
              <w:t>阀盖</w:t>
            </w:r>
          </w:p>
        </w:tc>
        <w:tc>
          <w:tcPr>
            <w:tcW w:w="2160" w:type="dxa"/>
            <w:vAlign w:val="center"/>
          </w:tcPr>
          <w:p w14:paraId="2EFFFEEF">
            <w:pPr>
              <w:spacing w:line="240" w:lineRule="exact"/>
              <w:ind w:left="-105" w:leftChars="-50" w:right="-105" w:rightChars="-50"/>
              <w:jc w:val="center"/>
              <w:rPr>
                <w:rFonts w:ascii="宋体" w:hAnsi="宋体" w:cs="宋体"/>
                <w:szCs w:val="21"/>
              </w:rPr>
            </w:pPr>
            <w:r>
              <w:rPr>
                <w:rFonts w:hint="eastAsia" w:ascii="宋体" w:hAnsi="宋体" w:cs="宋体"/>
                <w:szCs w:val="21"/>
              </w:rPr>
              <w:t>球墨铸铁QT450-10</w:t>
            </w:r>
          </w:p>
        </w:tc>
        <w:tc>
          <w:tcPr>
            <w:tcW w:w="720" w:type="dxa"/>
            <w:vAlign w:val="center"/>
          </w:tcPr>
          <w:p w14:paraId="380D2DE8">
            <w:pPr>
              <w:spacing w:line="240" w:lineRule="exact"/>
              <w:jc w:val="center"/>
              <w:rPr>
                <w:rFonts w:ascii="宋体" w:hAnsi="宋体" w:cs="宋体"/>
                <w:szCs w:val="21"/>
              </w:rPr>
            </w:pPr>
            <w:r>
              <w:rPr>
                <w:rFonts w:hint="eastAsia" w:ascii="宋体" w:hAnsi="宋体" w:cs="宋体"/>
                <w:szCs w:val="21"/>
              </w:rPr>
              <w:t>8</w:t>
            </w:r>
          </w:p>
        </w:tc>
        <w:tc>
          <w:tcPr>
            <w:tcW w:w="2160" w:type="dxa"/>
            <w:vAlign w:val="center"/>
          </w:tcPr>
          <w:p w14:paraId="3D29CBCF">
            <w:pPr>
              <w:spacing w:line="240" w:lineRule="exact"/>
              <w:jc w:val="center"/>
              <w:rPr>
                <w:rFonts w:ascii="宋体" w:hAnsi="宋体" w:cs="宋体"/>
                <w:szCs w:val="21"/>
              </w:rPr>
            </w:pPr>
            <w:r>
              <w:rPr>
                <w:rFonts w:hint="eastAsia" w:ascii="宋体" w:hAnsi="宋体" w:cs="宋体"/>
                <w:szCs w:val="21"/>
              </w:rPr>
              <w:t>定位销</w:t>
            </w:r>
          </w:p>
        </w:tc>
        <w:tc>
          <w:tcPr>
            <w:tcW w:w="1800" w:type="dxa"/>
            <w:vAlign w:val="center"/>
          </w:tcPr>
          <w:p w14:paraId="3203456F">
            <w:pPr>
              <w:spacing w:line="240" w:lineRule="exact"/>
              <w:jc w:val="center"/>
              <w:rPr>
                <w:rFonts w:ascii="宋体" w:hAnsi="宋体" w:cs="宋体"/>
                <w:szCs w:val="21"/>
              </w:rPr>
            </w:pPr>
            <w:r>
              <w:rPr>
                <w:rFonts w:hint="eastAsia" w:ascii="宋体" w:hAnsi="宋体" w:cs="宋体"/>
                <w:szCs w:val="21"/>
              </w:rPr>
              <w:t>不锈钢A2-70</w:t>
            </w:r>
          </w:p>
        </w:tc>
      </w:tr>
      <w:tr w14:paraId="4D3D44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jc w:val="center"/>
        </w:trPr>
        <w:tc>
          <w:tcPr>
            <w:tcW w:w="619" w:type="dxa"/>
            <w:vAlign w:val="center"/>
          </w:tcPr>
          <w:p w14:paraId="74CBD174">
            <w:pPr>
              <w:spacing w:line="240" w:lineRule="exact"/>
              <w:jc w:val="center"/>
              <w:rPr>
                <w:rFonts w:ascii="宋体" w:hAnsi="宋体" w:cs="宋体"/>
                <w:szCs w:val="21"/>
              </w:rPr>
            </w:pPr>
            <w:r>
              <w:rPr>
                <w:rFonts w:hint="eastAsia" w:ascii="宋体" w:hAnsi="宋体" w:cs="宋体"/>
                <w:szCs w:val="21"/>
              </w:rPr>
              <w:t>3</w:t>
            </w:r>
          </w:p>
        </w:tc>
        <w:tc>
          <w:tcPr>
            <w:tcW w:w="753" w:type="dxa"/>
            <w:vAlign w:val="center"/>
          </w:tcPr>
          <w:p w14:paraId="677E09B0">
            <w:pPr>
              <w:spacing w:line="240" w:lineRule="exact"/>
              <w:jc w:val="center"/>
              <w:rPr>
                <w:rFonts w:ascii="宋体" w:hAnsi="宋体" w:cs="宋体"/>
                <w:szCs w:val="21"/>
              </w:rPr>
            </w:pPr>
            <w:r>
              <w:rPr>
                <w:rFonts w:hint="eastAsia" w:ascii="宋体" w:hAnsi="宋体" w:cs="宋体"/>
                <w:szCs w:val="21"/>
              </w:rPr>
              <w:t>上轴</w:t>
            </w:r>
          </w:p>
        </w:tc>
        <w:tc>
          <w:tcPr>
            <w:tcW w:w="2160" w:type="dxa"/>
            <w:vAlign w:val="center"/>
          </w:tcPr>
          <w:p w14:paraId="2BCDB75A">
            <w:pPr>
              <w:spacing w:line="240" w:lineRule="exact"/>
              <w:jc w:val="center"/>
              <w:rPr>
                <w:rFonts w:ascii="宋体" w:hAnsi="宋体" w:cs="宋体"/>
                <w:szCs w:val="21"/>
              </w:rPr>
            </w:pPr>
            <w:r>
              <w:rPr>
                <w:rFonts w:hint="eastAsia" w:ascii="宋体" w:hAnsi="宋体" w:cs="宋体"/>
                <w:szCs w:val="21"/>
              </w:rPr>
              <w:t>不锈钢2Cr13</w:t>
            </w:r>
          </w:p>
        </w:tc>
        <w:tc>
          <w:tcPr>
            <w:tcW w:w="720" w:type="dxa"/>
            <w:vAlign w:val="center"/>
          </w:tcPr>
          <w:p w14:paraId="1A36781A">
            <w:pPr>
              <w:spacing w:line="240" w:lineRule="exact"/>
              <w:jc w:val="center"/>
              <w:rPr>
                <w:rFonts w:ascii="宋体" w:hAnsi="宋体" w:cs="宋体"/>
                <w:szCs w:val="21"/>
              </w:rPr>
            </w:pPr>
            <w:r>
              <w:rPr>
                <w:rFonts w:hint="eastAsia" w:ascii="宋体" w:hAnsi="宋体" w:cs="宋体"/>
                <w:szCs w:val="21"/>
              </w:rPr>
              <w:t>9</w:t>
            </w:r>
          </w:p>
        </w:tc>
        <w:tc>
          <w:tcPr>
            <w:tcW w:w="2160" w:type="dxa"/>
            <w:vAlign w:val="center"/>
          </w:tcPr>
          <w:p w14:paraId="16154514">
            <w:pPr>
              <w:spacing w:line="240" w:lineRule="exact"/>
              <w:jc w:val="center"/>
              <w:rPr>
                <w:rFonts w:ascii="宋体" w:hAnsi="宋体" w:cs="宋体"/>
                <w:szCs w:val="21"/>
              </w:rPr>
            </w:pPr>
            <w:r>
              <w:rPr>
                <w:rFonts w:hint="eastAsia" w:ascii="宋体" w:hAnsi="宋体" w:cs="宋体"/>
                <w:szCs w:val="21"/>
              </w:rPr>
              <w:t>密封件</w:t>
            </w:r>
          </w:p>
        </w:tc>
        <w:tc>
          <w:tcPr>
            <w:tcW w:w="1800" w:type="dxa"/>
            <w:vAlign w:val="center"/>
          </w:tcPr>
          <w:p w14:paraId="158C2418">
            <w:pPr>
              <w:spacing w:line="240" w:lineRule="exact"/>
              <w:jc w:val="center"/>
              <w:rPr>
                <w:rFonts w:ascii="宋体" w:hAnsi="宋体" w:cs="宋体"/>
                <w:szCs w:val="21"/>
              </w:rPr>
            </w:pPr>
            <w:r>
              <w:rPr>
                <w:rFonts w:hint="eastAsia" w:ascii="宋体" w:hAnsi="宋体" w:cs="宋体"/>
                <w:szCs w:val="21"/>
              </w:rPr>
              <w:t>丁腈橡胶NBR</w:t>
            </w:r>
          </w:p>
        </w:tc>
      </w:tr>
      <w:tr w14:paraId="6F943D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jc w:val="center"/>
        </w:trPr>
        <w:tc>
          <w:tcPr>
            <w:tcW w:w="619" w:type="dxa"/>
            <w:vAlign w:val="center"/>
          </w:tcPr>
          <w:p w14:paraId="7DCF7551">
            <w:pPr>
              <w:spacing w:line="240" w:lineRule="exact"/>
              <w:jc w:val="center"/>
              <w:rPr>
                <w:rFonts w:ascii="宋体" w:hAnsi="宋体" w:cs="宋体"/>
                <w:szCs w:val="21"/>
              </w:rPr>
            </w:pPr>
            <w:r>
              <w:rPr>
                <w:rFonts w:hint="eastAsia" w:ascii="宋体" w:hAnsi="宋体" w:cs="宋体"/>
                <w:szCs w:val="21"/>
              </w:rPr>
              <w:t>4</w:t>
            </w:r>
          </w:p>
        </w:tc>
        <w:tc>
          <w:tcPr>
            <w:tcW w:w="753" w:type="dxa"/>
            <w:vAlign w:val="center"/>
          </w:tcPr>
          <w:p w14:paraId="22E342E0">
            <w:pPr>
              <w:spacing w:line="240" w:lineRule="exact"/>
              <w:jc w:val="center"/>
              <w:rPr>
                <w:rFonts w:ascii="宋体" w:hAnsi="宋体" w:cs="宋体"/>
                <w:szCs w:val="21"/>
              </w:rPr>
            </w:pPr>
            <w:r>
              <w:rPr>
                <w:rFonts w:hint="eastAsia" w:ascii="宋体" w:hAnsi="宋体" w:cs="宋体"/>
                <w:szCs w:val="21"/>
              </w:rPr>
              <w:t>下轴</w:t>
            </w:r>
          </w:p>
        </w:tc>
        <w:tc>
          <w:tcPr>
            <w:tcW w:w="2160" w:type="dxa"/>
            <w:vAlign w:val="center"/>
          </w:tcPr>
          <w:p w14:paraId="2D3B2FDE">
            <w:pPr>
              <w:spacing w:line="240" w:lineRule="exact"/>
              <w:ind w:left="-105" w:leftChars="-50" w:right="-105" w:rightChars="-50"/>
              <w:jc w:val="center"/>
              <w:rPr>
                <w:rFonts w:ascii="宋体" w:hAnsi="宋体" w:cs="宋体"/>
                <w:szCs w:val="21"/>
              </w:rPr>
            </w:pPr>
            <w:r>
              <w:rPr>
                <w:rFonts w:hint="eastAsia" w:ascii="宋体" w:hAnsi="宋体" w:cs="宋体"/>
                <w:szCs w:val="21"/>
              </w:rPr>
              <w:t>不锈钢2Cr13</w:t>
            </w:r>
          </w:p>
        </w:tc>
        <w:tc>
          <w:tcPr>
            <w:tcW w:w="720" w:type="dxa"/>
            <w:vAlign w:val="center"/>
          </w:tcPr>
          <w:p w14:paraId="69A7FAB0">
            <w:pPr>
              <w:spacing w:line="240" w:lineRule="exact"/>
              <w:jc w:val="center"/>
              <w:rPr>
                <w:rFonts w:ascii="宋体" w:hAnsi="宋体" w:cs="宋体"/>
                <w:szCs w:val="21"/>
              </w:rPr>
            </w:pPr>
            <w:r>
              <w:rPr>
                <w:rFonts w:hint="eastAsia" w:ascii="宋体" w:hAnsi="宋体" w:cs="宋体"/>
                <w:szCs w:val="21"/>
              </w:rPr>
              <w:t>10</w:t>
            </w:r>
          </w:p>
        </w:tc>
        <w:tc>
          <w:tcPr>
            <w:tcW w:w="2160" w:type="dxa"/>
            <w:vAlign w:val="center"/>
          </w:tcPr>
          <w:p w14:paraId="7F37144A">
            <w:pPr>
              <w:spacing w:line="240" w:lineRule="exact"/>
              <w:jc w:val="center"/>
              <w:rPr>
                <w:rFonts w:ascii="宋体" w:hAnsi="宋体" w:cs="宋体"/>
                <w:szCs w:val="21"/>
              </w:rPr>
            </w:pPr>
            <w:r>
              <w:rPr>
                <w:rFonts w:hint="eastAsia" w:ascii="宋体" w:hAnsi="宋体" w:cs="宋体"/>
                <w:szCs w:val="21"/>
              </w:rPr>
              <w:t>紧固件</w:t>
            </w:r>
          </w:p>
        </w:tc>
        <w:tc>
          <w:tcPr>
            <w:tcW w:w="1800" w:type="dxa"/>
            <w:vAlign w:val="center"/>
          </w:tcPr>
          <w:p w14:paraId="1CDF4A94">
            <w:pPr>
              <w:spacing w:line="240" w:lineRule="exact"/>
              <w:jc w:val="center"/>
              <w:rPr>
                <w:rFonts w:ascii="宋体" w:hAnsi="宋体" w:cs="宋体"/>
                <w:szCs w:val="21"/>
              </w:rPr>
            </w:pPr>
            <w:r>
              <w:rPr>
                <w:rFonts w:hint="eastAsia" w:ascii="宋体" w:hAnsi="宋体" w:cs="宋体"/>
                <w:szCs w:val="21"/>
              </w:rPr>
              <w:t>镍基不锈钢</w:t>
            </w:r>
          </w:p>
        </w:tc>
      </w:tr>
      <w:tr w14:paraId="69D875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jc w:val="center"/>
        </w:trPr>
        <w:tc>
          <w:tcPr>
            <w:tcW w:w="619" w:type="dxa"/>
            <w:vAlign w:val="center"/>
          </w:tcPr>
          <w:p w14:paraId="66BE3B28">
            <w:pPr>
              <w:spacing w:line="240" w:lineRule="exact"/>
              <w:jc w:val="center"/>
              <w:rPr>
                <w:rFonts w:ascii="宋体" w:hAnsi="宋体" w:cs="宋体"/>
                <w:szCs w:val="21"/>
              </w:rPr>
            </w:pPr>
            <w:r>
              <w:rPr>
                <w:rFonts w:hint="eastAsia" w:ascii="宋体" w:hAnsi="宋体" w:cs="宋体"/>
                <w:szCs w:val="21"/>
              </w:rPr>
              <w:t>5</w:t>
            </w:r>
          </w:p>
        </w:tc>
        <w:tc>
          <w:tcPr>
            <w:tcW w:w="753" w:type="dxa"/>
            <w:vAlign w:val="center"/>
          </w:tcPr>
          <w:p w14:paraId="43B54646">
            <w:pPr>
              <w:spacing w:line="240" w:lineRule="exact"/>
              <w:jc w:val="center"/>
              <w:rPr>
                <w:rFonts w:ascii="宋体" w:hAnsi="宋体" w:cs="宋体"/>
                <w:szCs w:val="21"/>
              </w:rPr>
            </w:pPr>
            <w:r>
              <w:rPr>
                <w:rFonts w:hint="eastAsia" w:ascii="宋体" w:hAnsi="宋体" w:cs="宋体"/>
                <w:szCs w:val="21"/>
              </w:rPr>
              <w:t>手轮</w:t>
            </w:r>
          </w:p>
        </w:tc>
        <w:tc>
          <w:tcPr>
            <w:tcW w:w="2160" w:type="dxa"/>
            <w:vAlign w:val="center"/>
          </w:tcPr>
          <w:p w14:paraId="6009DA02">
            <w:pPr>
              <w:spacing w:line="240" w:lineRule="exact"/>
              <w:ind w:left="-105" w:leftChars="-50" w:right="-105" w:rightChars="-50"/>
              <w:jc w:val="center"/>
              <w:rPr>
                <w:rFonts w:ascii="宋体" w:hAnsi="宋体" w:cs="宋体"/>
                <w:szCs w:val="21"/>
              </w:rPr>
            </w:pPr>
            <w:r>
              <w:rPr>
                <w:rFonts w:hint="eastAsia" w:ascii="宋体" w:hAnsi="宋体" w:cs="宋体"/>
                <w:szCs w:val="21"/>
              </w:rPr>
              <w:t>球墨铸铁QT450-10</w:t>
            </w:r>
          </w:p>
        </w:tc>
        <w:tc>
          <w:tcPr>
            <w:tcW w:w="720" w:type="dxa"/>
            <w:vAlign w:val="center"/>
          </w:tcPr>
          <w:p w14:paraId="4E24BE43">
            <w:pPr>
              <w:spacing w:line="240" w:lineRule="exact"/>
              <w:jc w:val="center"/>
              <w:rPr>
                <w:rFonts w:ascii="宋体" w:hAnsi="宋体" w:cs="宋体"/>
                <w:szCs w:val="21"/>
              </w:rPr>
            </w:pPr>
            <w:r>
              <w:rPr>
                <w:rFonts w:hint="eastAsia" w:ascii="宋体" w:hAnsi="宋体" w:cs="宋体"/>
                <w:szCs w:val="21"/>
              </w:rPr>
              <w:t>11</w:t>
            </w:r>
          </w:p>
        </w:tc>
        <w:tc>
          <w:tcPr>
            <w:tcW w:w="2160" w:type="dxa"/>
            <w:vAlign w:val="center"/>
          </w:tcPr>
          <w:p w14:paraId="5F637993">
            <w:pPr>
              <w:spacing w:line="240" w:lineRule="exact"/>
              <w:jc w:val="center"/>
              <w:rPr>
                <w:rFonts w:ascii="宋体" w:hAnsi="宋体" w:cs="宋体"/>
                <w:szCs w:val="21"/>
              </w:rPr>
            </w:pPr>
            <w:r>
              <w:rPr>
                <w:rFonts w:hint="eastAsia" w:ascii="宋体" w:hAnsi="宋体" w:cs="宋体"/>
                <w:szCs w:val="21"/>
              </w:rPr>
              <w:t>螺栓、螺母、垫圈</w:t>
            </w:r>
          </w:p>
        </w:tc>
        <w:tc>
          <w:tcPr>
            <w:tcW w:w="1800" w:type="dxa"/>
            <w:vAlign w:val="center"/>
          </w:tcPr>
          <w:p w14:paraId="116664E9">
            <w:pPr>
              <w:spacing w:line="240" w:lineRule="exact"/>
              <w:jc w:val="center"/>
              <w:rPr>
                <w:rFonts w:ascii="宋体" w:hAnsi="宋体" w:cs="宋体"/>
                <w:szCs w:val="21"/>
              </w:rPr>
            </w:pPr>
            <w:r>
              <w:rPr>
                <w:rFonts w:hint="eastAsia" w:ascii="宋体" w:hAnsi="宋体" w:cs="宋体"/>
                <w:szCs w:val="21"/>
              </w:rPr>
              <w:t>8.8级（镀锌）</w:t>
            </w:r>
          </w:p>
        </w:tc>
      </w:tr>
      <w:tr w14:paraId="1B2C7F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619" w:type="dxa"/>
            <w:vAlign w:val="center"/>
          </w:tcPr>
          <w:p w14:paraId="5AB3F18E">
            <w:pPr>
              <w:spacing w:line="240" w:lineRule="exact"/>
              <w:jc w:val="center"/>
              <w:rPr>
                <w:rFonts w:ascii="宋体" w:hAnsi="宋体" w:cs="宋体"/>
                <w:szCs w:val="21"/>
              </w:rPr>
            </w:pPr>
            <w:r>
              <w:rPr>
                <w:rFonts w:hint="eastAsia" w:ascii="宋体" w:hAnsi="宋体" w:cs="宋体"/>
                <w:szCs w:val="21"/>
              </w:rPr>
              <w:t>6</w:t>
            </w:r>
          </w:p>
        </w:tc>
        <w:tc>
          <w:tcPr>
            <w:tcW w:w="753" w:type="dxa"/>
            <w:vAlign w:val="center"/>
          </w:tcPr>
          <w:p w14:paraId="17FCF26D">
            <w:pPr>
              <w:spacing w:line="240" w:lineRule="exact"/>
              <w:jc w:val="center"/>
              <w:rPr>
                <w:rFonts w:ascii="宋体" w:hAnsi="宋体" w:cs="宋体"/>
                <w:szCs w:val="21"/>
              </w:rPr>
            </w:pPr>
            <w:r>
              <w:rPr>
                <w:rFonts w:hint="eastAsia" w:ascii="宋体" w:hAnsi="宋体" w:cs="宋体"/>
                <w:szCs w:val="21"/>
              </w:rPr>
              <w:t>阀座</w:t>
            </w:r>
          </w:p>
        </w:tc>
        <w:tc>
          <w:tcPr>
            <w:tcW w:w="2160" w:type="dxa"/>
            <w:vAlign w:val="center"/>
          </w:tcPr>
          <w:p w14:paraId="65B5066D">
            <w:pPr>
              <w:spacing w:line="240" w:lineRule="exact"/>
              <w:jc w:val="center"/>
              <w:rPr>
                <w:rFonts w:ascii="宋体" w:hAnsi="宋体" w:cs="宋体"/>
                <w:szCs w:val="21"/>
              </w:rPr>
            </w:pPr>
            <w:r>
              <w:rPr>
                <w:rFonts w:hint="eastAsia" w:ascii="宋体" w:hAnsi="宋体" w:cs="宋体"/>
                <w:szCs w:val="21"/>
              </w:rPr>
              <w:t>不锈钢3Cr13</w:t>
            </w:r>
          </w:p>
        </w:tc>
        <w:tc>
          <w:tcPr>
            <w:tcW w:w="720" w:type="dxa"/>
            <w:vAlign w:val="center"/>
          </w:tcPr>
          <w:p w14:paraId="28FA226A">
            <w:pPr>
              <w:spacing w:line="240" w:lineRule="exact"/>
              <w:ind w:left="-105" w:leftChars="-50" w:right="-105" w:rightChars="-50"/>
              <w:jc w:val="center"/>
              <w:rPr>
                <w:rFonts w:ascii="宋体" w:hAnsi="宋体" w:cs="宋体"/>
                <w:szCs w:val="21"/>
              </w:rPr>
            </w:pPr>
            <w:r>
              <w:rPr>
                <w:rFonts w:hint="eastAsia" w:ascii="宋体" w:hAnsi="宋体" w:cs="宋体"/>
                <w:szCs w:val="21"/>
              </w:rPr>
              <w:t>12</w:t>
            </w:r>
          </w:p>
        </w:tc>
        <w:tc>
          <w:tcPr>
            <w:tcW w:w="2160" w:type="dxa"/>
            <w:vAlign w:val="center"/>
          </w:tcPr>
          <w:p w14:paraId="31507D85">
            <w:pPr>
              <w:spacing w:line="240" w:lineRule="exact"/>
              <w:ind w:left="-105" w:leftChars="-50" w:right="-105" w:rightChars="-50"/>
              <w:jc w:val="center"/>
              <w:rPr>
                <w:rFonts w:ascii="宋体" w:hAnsi="宋体" w:cs="宋体"/>
                <w:szCs w:val="21"/>
              </w:rPr>
            </w:pPr>
            <w:r>
              <w:rPr>
                <w:rFonts w:hint="eastAsia" w:ascii="宋体" w:hAnsi="宋体" w:cs="宋体"/>
                <w:szCs w:val="21"/>
              </w:rPr>
              <w:t>垫片</w:t>
            </w:r>
          </w:p>
        </w:tc>
        <w:tc>
          <w:tcPr>
            <w:tcW w:w="1800" w:type="dxa"/>
            <w:vAlign w:val="center"/>
          </w:tcPr>
          <w:p w14:paraId="6FA1A7C0">
            <w:pPr>
              <w:spacing w:line="240" w:lineRule="exact"/>
              <w:ind w:left="-105" w:leftChars="-50" w:right="-105" w:rightChars="-50"/>
              <w:jc w:val="center"/>
              <w:rPr>
                <w:rFonts w:ascii="宋体" w:hAnsi="宋体" w:cs="宋体"/>
                <w:szCs w:val="21"/>
              </w:rPr>
            </w:pPr>
            <w:r>
              <w:rPr>
                <w:rFonts w:hint="eastAsia" w:ascii="宋体" w:hAnsi="宋体" w:cs="宋体"/>
                <w:szCs w:val="21"/>
              </w:rPr>
              <w:t>丁腈橡胶</w:t>
            </w:r>
          </w:p>
        </w:tc>
      </w:tr>
    </w:tbl>
    <w:p w14:paraId="4F168F59">
      <w:pPr>
        <w:spacing w:line="480" w:lineRule="exact"/>
        <w:ind w:firstLine="420" w:firstLineChars="200"/>
        <w:rPr>
          <w:rFonts w:ascii="宋体" w:hAnsi="宋体" w:cs="宋体"/>
          <w:szCs w:val="21"/>
        </w:rPr>
      </w:pPr>
      <w:r>
        <w:rPr>
          <w:rFonts w:hint="eastAsia" w:ascii="宋体" w:hAnsi="宋体" w:cs="宋体"/>
          <w:szCs w:val="21"/>
        </w:rPr>
        <w:t>2.3.8  手动驱动装置</w:t>
      </w:r>
    </w:p>
    <w:p w14:paraId="507E6AD8">
      <w:pPr>
        <w:spacing w:line="480" w:lineRule="exact"/>
        <w:ind w:firstLine="420" w:firstLineChars="200"/>
        <w:rPr>
          <w:rFonts w:ascii="宋体" w:hAnsi="宋体" w:cs="宋体"/>
          <w:szCs w:val="21"/>
        </w:rPr>
      </w:pPr>
      <w:r>
        <w:rPr>
          <w:rFonts w:hint="eastAsia" w:ascii="宋体" w:hAnsi="宋体" w:cs="宋体"/>
          <w:szCs w:val="21"/>
        </w:rPr>
        <w:t>（1）阀门采用蜗轮传动装置，手轮操作力不大于200N。</w:t>
      </w:r>
    </w:p>
    <w:p w14:paraId="351CF33D">
      <w:pPr>
        <w:spacing w:line="480" w:lineRule="exact"/>
        <w:ind w:firstLine="420" w:firstLineChars="200"/>
        <w:rPr>
          <w:rFonts w:ascii="宋体" w:hAnsi="宋体" w:cs="宋体"/>
          <w:szCs w:val="21"/>
        </w:rPr>
      </w:pPr>
      <w:r>
        <w:rPr>
          <w:rFonts w:hint="eastAsia" w:ascii="宋体" w:hAnsi="宋体" w:cs="宋体"/>
          <w:szCs w:val="21"/>
        </w:rPr>
        <w:t>（2）传动箱体、箱盖、蜗轮采用QT450-10，结构简单、蜗杆采用优质碳钢。</w:t>
      </w:r>
    </w:p>
    <w:p w14:paraId="4EB83E7F">
      <w:pPr>
        <w:spacing w:line="480" w:lineRule="exact"/>
        <w:ind w:firstLine="420" w:firstLineChars="200"/>
        <w:rPr>
          <w:rFonts w:ascii="宋体" w:hAnsi="宋体" w:cs="宋体"/>
          <w:szCs w:val="21"/>
        </w:rPr>
      </w:pPr>
      <w:r>
        <w:rPr>
          <w:rFonts w:hint="eastAsia" w:ascii="宋体" w:hAnsi="宋体" w:cs="宋体"/>
          <w:szCs w:val="21"/>
        </w:rPr>
        <w:t>（3）装有限位螺钉，可在全开全闭两个位置±5°调整。</w:t>
      </w:r>
    </w:p>
    <w:p w14:paraId="120A555A">
      <w:pPr>
        <w:spacing w:line="480" w:lineRule="exact"/>
        <w:ind w:firstLine="420" w:firstLineChars="200"/>
        <w:rPr>
          <w:rFonts w:ascii="宋体" w:hAnsi="宋体" w:cs="宋体"/>
          <w:szCs w:val="21"/>
        </w:rPr>
      </w:pPr>
      <w:r>
        <w:rPr>
          <w:rFonts w:hint="eastAsia" w:ascii="宋体" w:hAnsi="宋体" w:cs="宋体"/>
          <w:szCs w:val="21"/>
        </w:rPr>
        <w:t>（4）蜗轮、蜗杆副自锁。</w:t>
      </w:r>
    </w:p>
    <w:p w14:paraId="5252C3C5">
      <w:pPr>
        <w:spacing w:line="480" w:lineRule="exact"/>
        <w:ind w:firstLine="420" w:firstLineChars="200"/>
        <w:rPr>
          <w:rFonts w:ascii="宋体" w:hAnsi="宋体" w:cs="宋体"/>
          <w:szCs w:val="21"/>
        </w:rPr>
      </w:pPr>
      <w:r>
        <w:rPr>
          <w:rFonts w:hint="eastAsia" w:ascii="宋体" w:hAnsi="宋体" w:cs="宋体"/>
          <w:szCs w:val="21"/>
        </w:rPr>
        <w:t>（5）蜗杆、蜗轮啮合间隙小，以减少窜动。</w:t>
      </w:r>
    </w:p>
    <w:p w14:paraId="2D03FA68">
      <w:pPr>
        <w:spacing w:line="480" w:lineRule="exact"/>
        <w:ind w:firstLine="420" w:firstLineChars="200"/>
        <w:rPr>
          <w:rFonts w:ascii="宋体" w:hAnsi="宋体" w:cs="宋体"/>
          <w:szCs w:val="21"/>
        </w:rPr>
      </w:pPr>
      <w:r>
        <w:rPr>
          <w:rFonts w:hint="eastAsia" w:ascii="宋体" w:hAnsi="宋体" w:cs="宋体"/>
          <w:szCs w:val="21"/>
        </w:rPr>
        <w:t>（6）开度指示器直接装在输出轴上，指示直观。</w:t>
      </w:r>
    </w:p>
    <w:p w14:paraId="502EC3F7">
      <w:pPr>
        <w:spacing w:line="480" w:lineRule="exact"/>
        <w:ind w:firstLine="420" w:firstLineChars="200"/>
        <w:rPr>
          <w:rFonts w:ascii="宋体" w:hAnsi="宋体" w:cs="宋体"/>
          <w:szCs w:val="21"/>
        </w:rPr>
      </w:pPr>
      <w:r>
        <w:rPr>
          <w:rFonts w:hint="eastAsia" w:ascii="宋体" w:hAnsi="宋体" w:cs="宋体"/>
          <w:szCs w:val="21"/>
        </w:rPr>
        <w:t>（7）外壳密封，可以防水，内部装满专用防水润滑脂，操作灵活。</w:t>
      </w:r>
    </w:p>
    <w:p w14:paraId="40FB5CFB">
      <w:pPr>
        <w:spacing w:line="480" w:lineRule="exact"/>
        <w:ind w:firstLine="420" w:firstLineChars="200"/>
        <w:rPr>
          <w:rFonts w:ascii="宋体" w:hAnsi="宋体" w:cs="宋体"/>
          <w:szCs w:val="21"/>
        </w:rPr>
      </w:pPr>
      <w:r>
        <w:rPr>
          <w:rFonts w:hint="eastAsia" w:ascii="宋体" w:hAnsi="宋体" w:cs="宋体"/>
          <w:szCs w:val="21"/>
        </w:rPr>
        <w:t>2.3.9  防腐涂层</w:t>
      </w:r>
    </w:p>
    <w:p w14:paraId="352FFF42">
      <w:pPr>
        <w:spacing w:line="480" w:lineRule="exact"/>
        <w:ind w:firstLine="420" w:firstLineChars="200"/>
        <w:rPr>
          <w:rFonts w:ascii="宋体" w:hAnsi="宋体" w:cs="宋体"/>
          <w:szCs w:val="21"/>
        </w:rPr>
      </w:pPr>
      <w:r>
        <w:rPr>
          <w:rFonts w:hint="eastAsia" w:ascii="宋体" w:hAnsi="宋体" w:cs="宋体"/>
          <w:szCs w:val="21"/>
        </w:rPr>
        <w:t>阀门内部的防腐涂层要求厚度均匀、色泽均一，涂层表面光洁，无流痕。喷涂防腐涂层前阀体表面至少喷砂除锈达到Sa2.5级，将铸件加热后再进行静电喷涂无毒环氧树脂粉末工艺，烘干固化后涂层厚度在0.3mm～1.4mm之间。阀门外防腐采用环氧树脂涂料或上述静电喷涂环氧树脂粉末工艺。</w:t>
      </w:r>
    </w:p>
    <w:p w14:paraId="2172E65B">
      <w:pPr>
        <w:spacing w:line="480" w:lineRule="exact"/>
        <w:ind w:firstLine="420" w:firstLineChars="200"/>
        <w:rPr>
          <w:rFonts w:ascii="宋体" w:hAnsi="宋体" w:cs="宋体"/>
          <w:szCs w:val="21"/>
        </w:rPr>
      </w:pPr>
      <w:r>
        <w:rPr>
          <w:rFonts w:hint="eastAsia" w:ascii="宋体" w:hAnsi="宋体" w:cs="宋体"/>
          <w:szCs w:val="21"/>
        </w:rPr>
        <w:t>2.3.10  采购明细表及上述未规定的阀门技术条件，则按国标规定执行。</w:t>
      </w:r>
    </w:p>
    <w:p w14:paraId="4BADA3B3">
      <w:pPr>
        <w:spacing w:line="480" w:lineRule="exact"/>
        <w:ind w:firstLine="420" w:firstLineChars="200"/>
        <w:rPr>
          <w:rFonts w:ascii="宋体" w:hAnsi="宋体" w:cs="宋体"/>
          <w:szCs w:val="21"/>
          <w:highlight w:val="none"/>
        </w:rPr>
      </w:pPr>
      <w:r>
        <w:rPr>
          <w:rFonts w:hint="eastAsia" w:ascii="宋体" w:hAnsi="宋体" w:cs="宋体"/>
          <w:szCs w:val="21"/>
        </w:rPr>
        <w:t>2.</w:t>
      </w:r>
      <w:r>
        <w:rPr>
          <w:rFonts w:hint="eastAsia" w:ascii="宋体" w:hAnsi="宋体" w:cs="宋体"/>
          <w:szCs w:val="21"/>
          <w:highlight w:val="none"/>
        </w:rPr>
        <w:t>4  复合排气阀技术要求</w:t>
      </w:r>
    </w:p>
    <w:p w14:paraId="72036F1A">
      <w:pPr>
        <w:spacing w:line="480" w:lineRule="exact"/>
        <w:ind w:firstLine="420" w:firstLineChars="200"/>
        <w:rPr>
          <w:rFonts w:ascii="宋体" w:hAnsi="宋体" w:cs="宋体"/>
          <w:szCs w:val="21"/>
        </w:rPr>
      </w:pPr>
      <w:r>
        <w:rPr>
          <w:rFonts w:hint="eastAsia" w:ascii="宋体" w:hAnsi="宋体" w:cs="宋体"/>
          <w:szCs w:val="21"/>
        </w:rPr>
        <w:t>2.4.1  概述</w:t>
      </w:r>
    </w:p>
    <w:p w14:paraId="274F4AD9">
      <w:pPr>
        <w:spacing w:line="480" w:lineRule="exact"/>
        <w:ind w:firstLine="420" w:firstLineChars="200"/>
        <w:rPr>
          <w:rFonts w:ascii="宋体" w:hAnsi="宋体" w:cs="宋体"/>
          <w:szCs w:val="21"/>
        </w:rPr>
      </w:pPr>
      <w:r>
        <w:rPr>
          <w:rFonts w:hint="eastAsia" w:ascii="宋体" w:hAnsi="宋体" w:cs="宋体"/>
          <w:szCs w:val="21"/>
        </w:rPr>
        <w:t>本阀门安装在输水管道阀井内，手动操作。</w:t>
      </w:r>
    </w:p>
    <w:p w14:paraId="2F518085">
      <w:pPr>
        <w:spacing w:line="480" w:lineRule="exact"/>
        <w:ind w:firstLine="420" w:firstLineChars="200"/>
        <w:rPr>
          <w:rFonts w:ascii="宋体" w:hAnsi="宋体" w:cs="宋体"/>
          <w:szCs w:val="21"/>
        </w:rPr>
      </w:pPr>
      <w:r>
        <w:rPr>
          <w:rFonts w:hint="eastAsia" w:ascii="宋体" w:hAnsi="宋体" w:cs="宋体"/>
          <w:szCs w:val="21"/>
        </w:rPr>
        <w:t>2.4.2  标准要求</w:t>
      </w:r>
    </w:p>
    <w:p w14:paraId="071A7539">
      <w:pPr>
        <w:spacing w:line="480" w:lineRule="exact"/>
        <w:ind w:firstLine="420" w:firstLineChars="200"/>
        <w:rPr>
          <w:rFonts w:ascii="宋体" w:hAnsi="宋体" w:cs="宋体"/>
          <w:szCs w:val="21"/>
        </w:rPr>
      </w:pPr>
      <w:r>
        <w:rPr>
          <w:rFonts w:hint="eastAsia" w:ascii="宋体" w:hAnsi="宋体" w:cs="宋体"/>
          <w:szCs w:val="21"/>
        </w:rPr>
        <w:t>承包人提供的产品，在满足下列标准要求的前提下，应满足或高于本</w:t>
      </w:r>
      <w:r>
        <w:rPr>
          <w:rFonts w:hint="eastAsia" w:ascii="宋体" w:hAnsi="宋体" w:cs="宋体"/>
          <w:szCs w:val="21"/>
          <w:lang w:eastAsia="zh-CN"/>
        </w:rPr>
        <w:t>招选</w:t>
      </w:r>
      <w:r>
        <w:rPr>
          <w:rFonts w:hint="eastAsia" w:ascii="宋体" w:hAnsi="宋体" w:cs="宋体"/>
          <w:szCs w:val="21"/>
        </w:rPr>
        <w:t>技术要求的规定。</w:t>
      </w:r>
    </w:p>
    <w:p w14:paraId="1F901F1B">
      <w:pPr>
        <w:spacing w:line="480" w:lineRule="exact"/>
        <w:ind w:firstLine="420" w:firstLineChars="200"/>
        <w:rPr>
          <w:rFonts w:ascii="宋体" w:hAnsi="宋体" w:cs="宋体"/>
          <w:szCs w:val="21"/>
        </w:rPr>
      </w:pPr>
      <w:r>
        <w:rPr>
          <w:rFonts w:hint="eastAsia" w:ascii="宋体" w:hAnsi="宋体" w:cs="宋体"/>
          <w:szCs w:val="21"/>
        </w:rPr>
        <w:t>（1）《给水管道复合式高速排气阀》（CJ/T 217-2013）；</w:t>
      </w:r>
    </w:p>
    <w:p w14:paraId="0D2286C2">
      <w:pPr>
        <w:spacing w:line="480" w:lineRule="exact"/>
        <w:ind w:firstLine="413" w:firstLineChars="197"/>
        <w:rPr>
          <w:rFonts w:ascii="宋体" w:hAnsi="宋体" w:cs="宋体"/>
          <w:szCs w:val="21"/>
        </w:rPr>
      </w:pPr>
      <w:r>
        <w:rPr>
          <w:rFonts w:hint="eastAsia" w:ascii="宋体" w:hAnsi="宋体" w:cs="宋体"/>
          <w:szCs w:val="21"/>
        </w:rPr>
        <w:t>（2）《管道元件 公称压力的定义和选用》（GB/T 1048-2019）；</w:t>
      </w:r>
    </w:p>
    <w:p w14:paraId="22679A80">
      <w:pPr>
        <w:spacing w:line="480" w:lineRule="exact"/>
        <w:ind w:firstLine="420" w:firstLineChars="200"/>
        <w:rPr>
          <w:rFonts w:ascii="宋体" w:hAnsi="宋体" w:cs="宋体"/>
          <w:szCs w:val="21"/>
        </w:rPr>
      </w:pPr>
      <w:r>
        <w:rPr>
          <w:rFonts w:hint="eastAsia" w:ascii="宋体" w:hAnsi="宋体" w:cs="宋体"/>
          <w:szCs w:val="21"/>
        </w:rPr>
        <w:t>（3）《整体铸铁法兰》（GB/T 17241.6-2008）；</w:t>
      </w:r>
    </w:p>
    <w:p w14:paraId="176394B6">
      <w:pPr>
        <w:spacing w:line="480" w:lineRule="exact"/>
        <w:ind w:firstLine="420" w:firstLineChars="200"/>
        <w:rPr>
          <w:rFonts w:ascii="宋体" w:hAnsi="宋体" w:cs="宋体"/>
          <w:szCs w:val="21"/>
        </w:rPr>
      </w:pPr>
      <w:r>
        <w:rPr>
          <w:rFonts w:hint="eastAsia" w:ascii="宋体" w:hAnsi="宋体" w:cs="宋体"/>
          <w:szCs w:val="21"/>
        </w:rPr>
        <w:t>（4）《工业阀门 压力试验》（GB/T 13927-2008）；</w:t>
      </w:r>
    </w:p>
    <w:p w14:paraId="0C4105E2">
      <w:pPr>
        <w:spacing w:line="480" w:lineRule="exact"/>
        <w:ind w:firstLine="420" w:firstLineChars="200"/>
        <w:rPr>
          <w:rFonts w:ascii="宋体" w:hAnsi="宋体" w:cs="宋体"/>
          <w:szCs w:val="21"/>
        </w:rPr>
      </w:pPr>
      <w:r>
        <w:rPr>
          <w:rFonts w:hint="eastAsia" w:ascii="宋体" w:hAnsi="宋体" w:cs="宋体"/>
          <w:szCs w:val="21"/>
        </w:rPr>
        <w:t>（5）《通用阀门 标志》（GB/T 12220-2015）；</w:t>
      </w:r>
    </w:p>
    <w:p w14:paraId="38A10947">
      <w:pPr>
        <w:spacing w:line="480" w:lineRule="exact"/>
        <w:ind w:firstLine="420" w:firstLineChars="200"/>
        <w:rPr>
          <w:rFonts w:ascii="宋体" w:hAnsi="宋体" w:cs="宋体"/>
          <w:szCs w:val="21"/>
        </w:rPr>
      </w:pPr>
      <w:r>
        <w:rPr>
          <w:rFonts w:hint="eastAsia" w:ascii="宋体" w:hAnsi="宋体" w:cs="宋体"/>
          <w:szCs w:val="21"/>
        </w:rPr>
        <w:t>（6）《金属阀门 结构长度》（GB/T 12221-2005）；</w:t>
      </w:r>
    </w:p>
    <w:p w14:paraId="6B58DC88">
      <w:pPr>
        <w:spacing w:line="480" w:lineRule="exact"/>
        <w:ind w:firstLine="420" w:firstLineChars="200"/>
        <w:rPr>
          <w:rFonts w:ascii="宋体" w:hAnsi="宋体" w:cs="宋体"/>
          <w:szCs w:val="21"/>
        </w:rPr>
      </w:pPr>
      <w:r>
        <w:rPr>
          <w:rFonts w:hint="eastAsia" w:ascii="宋体" w:hAnsi="宋体" w:cs="宋体"/>
          <w:szCs w:val="21"/>
        </w:rPr>
        <w:t>（7）《通用阀门 球墨铸铁件技术条件》（GB/T 12227-2005）；</w:t>
      </w:r>
    </w:p>
    <w:p w14:paraId="1DECD022">
      <w:pPr>
        <w:spacing w:line="480" w:lineRule="exact"/>
        <w:ind w:firstLine="420" w:firstLineChars="200"/>
        <w:rPr>
          <w:rFonts w:ascii="宋体" w:hAnsi="宋体" w:cs="宋体"/>
          <w:szCs w:val="21"/>
        </w:rPr>
      </w:pPr>
      <w:r>
        <w:rPr>
          <w:rFonts w:hint="eastAsia" w:ascii="宋体" w:hAnsi="宋体" w:cs="宋体"/>
          <w:szCs w:val="21"/>
        </w:rPr>
        <w:t>（8）《通用阀门 碳素钢锻件技术条件》（GB/T 12228-2005）；</w:t>
      </w:r>
    </w:p>
    <w:p w14:paraId="75B8F69E">
      <w:pPr>
        <w:spacing w:line="480" w:lineRule="exact"/>
        <w:ind w:firstLine="420" w:firstLineChars="200"/>
        <w:rPr>
          <w:rFonts w:ascii="宋体" w:hAnsi="宋体" w:cs="宋体"/>
          <w:szCs w:val="21"/>
        </w:rPr>
      </w:pPr>
      <w:r>
        <w:rPr>
          <w:rFonts w:hint="eastAsia" w:ascii="宋体" w:hAnsi="宋体" w:cs="宋体"/>
          <w:szCs w:val="21"/>
        </w:rPr>
        <w:t>（9）《通用阀门 碳素钢铸件技术条件》（GB/T 12229-2005）；</w:t>
      </w:r>
    </w:p>
    <w:p w14:paraId="542FD9C1">
      <w:pPr>
        <w:spacing w:line="480" w:lineRule="exact"/>
        <w:ind w:firstLine="420" w:firstLineChars="200"/>
        <w:rPr>
          <w:rFonts w:ascii="宋体" w:hAnsi="宋体" w:cs="宋体"/>
          <w:szCs w:val="21"/>
        </w:rPr>
      </w:pPr>
      <w:r>
        <w:rPr>
          <w:rFonts w:hint="eastAsia" w:ascii="宋体" w:hAnsi="宋体" w:cs="宋体"/>
          <w:szCs w:val="21"/>
        </w:rPr>
        <w:t>（10）《通用阀门 不锈钢铸件技术条件》（GB/T 12230-2005）；</w:t>
      </w:r>
    </w:p>
    <w:p w14:paraId="55544D3C">
      <w:pPr>
        <w:spacing w:line="480" w:lineRule="exact"/>
        <w:ind w:firstLine="420" w:firstLineChars="200"/>
        <w:rPr>
          <w:rFonts w:ascii="宋体" w:hAnsi="宋体" w:cs="宋体"/>
          <w:szCs w:val="21"/>
        </w:rPr>
      </w:pPr>
      <w:r>
        <w:rPr>
          <w:rFonts w:hint="eastAsia" w:ascii="宋体" w:hAnsi="宋体" w:cs="宋体"/>
          <w:szCs w:val="21"/>
        </w:rPr>
        <w:t>（11）《通用阀门 法兰和对焊钢制球阀》（GB/T 12237-1989）；</w:t>
      </w:r>
    </w:p>
    <w:p w14:paraId="75BE6875">
      <w:pPr>
        <w:spacing w:line="480" w:lineRule="exact"/>
        <w:ind w:firstLine="420" w:firstLineChars="200"/>
        <w:rPr>
          <w:rFonts w:ascii="宋体" w:hAnsi="宋体" w:cs="宋体"/>
          <w:szCs w:val="21"/>
        </w:rPr>
      </w:pPr>
      <w:r>
        <w:rPr>
          <w:rFonts w:hint="eastAsia" w:ascii="宋体" w:hAnsi="宋体" w:cs="宋体"/>
          <w:szCs w:val="21"/>
        </w:rPr>
        <w:t>（12）《板式平焊钢制管法兰》（GB/T 9119-2010）；</w:t>
      </w:r>
    </w:p>
    <w:p w14:paraId="7D8402FC">
      <w:pPr>
        <w:spacing w:line="480" w:lineRule="exact"/>
        <w:ind w:firstLine="420" w:firstLineChars="200"/>
        <w:rPr>
          <w:rFonts w:ascii="宋体" w:hAnsi="宋体" w:cs="宋体"/>
          <w:szCs w:val="21"/>
        </w:rPr>
      </w:pPr>
      <w:r>
        <w:rPr>
          <w:rFonts w:hint="eastAsia" w:ascii="宋体" w:hAnsi="宋体" w:cs="宋体"/>
          <w:szCs w:val="21"/>
        </w:rPr>
        <w:t>（13）《不锈钢棒》（GB/T 1220-2007）；</w:t>
      </w:r>
    </w:p>
    <w:p w14:paraId="009F4043">
      <w:pPr>
        <w:spacing w:line="480" w:lineRule="exact"/>
        <w:ind w:left="479" w:leftChars="228"/>
        <w:rPr>
          <w:rFonts w:ascii="宋体" w:hAnsi="宋体" w:cs="宋体"/>
          <w:szCs w:val="21"/>
        </w:rPr>
      </w:pPr>
      <w:r>
        <w:rPr>
          <w:rFonts w:hint="eastAsia" w:ascii="宋体" w:hAnsi="宋体" w:cs="宋体"/>
          <w:szCs w:val="21"/>
        </w:rPr>
        <w:t>（14）《生活饮用水输配水设备及防护材料的安全性评价标准》（GB/T 17219-1998）；</w:t>
      </w:r>
    </w:p>
    <w:p w14:paraId="7FEB817B">
      <w:pPr>
        <w:spacing w:line="480" w:lineRule="exact"/>
        <w:ind w:firstLine="420" w:firstLineChars="200"/>
        <w:rPr>
          <w:rFonts w:ascii="宋体" w:hAnsi="宋体" w:cs="宋体"/>
          <w:szCs w:val="21"/>
        </w:rPr>
      </w:pPr>
      <w:r>
        <w:rPr>
          <w:rFonts w:hint="eastAsia" w:ascii="宋体" w:hAnsi="宋体" w:cs="宋体"/>
          <w:szCs w:val="21"/>
        </w:rPr>
        <w:t>（15）《阀门的检验和试验》（GB/T 26480-2011）；</w:t>
      </w:r>
    </w:p>
    <w:p w14:paraId="0BF02540">
      <w:pPr>
        <w:spacing w:line="480" w:lineRule="exact"/>
        <w:ind w:left="1103" w:leftChars="225" w:hanging="630" w:hangingChars="300"/>
        <w:rPr>
          <w:rFonts w:ascii="宋体" w:hAnsi="宋体" w:cs="宋体"/>
          <w:szCs w:val="21"/>
        </w:rPr>
      </w:pPr>
      <w:r>
        <w:rPr>
          <w:rFonts w:hint="eastAsia" w:ascii="宋体" w:hAnsi="宋体" w:cs="宋体"/>
          <w:szCs w:val="21"/>
        </w:rPr>
        <w:t>（16）《涂覆涂料前钢材表面处理 表面清洁度的目视评定 第1部分：未涂覆过的钢材表面和全面清除原有涂层后的钢材表面的锈蚀等级和处理等级》（GB/T 8923.1-2011）；</w:t>
      </w:r>
    </w:p>
    <w:p w14:paraId="6C776205">
      <w:pPr>
        <w:spacing w:line="480" w:lineRule="exact"/>
        <w:ind w:left="1103" w:leftChars="225" w:hanging="630" w:hangingChars="300"/>
        <w:rPr>
          <w:rFonts w:ascii="宋体" w:hAnsi="宋体" w:cs="宋体"/>
          <w:szCs w:val="21"/>
        </w:rPr>
      </w:pPr>
      <w:r>
        <w:rPr>
          <w:rFonts w:hint="eastAsia" w:ascii="宋体" w:hAnsi="宋体" w:cs="宋体"/>
          <w:szCs w:val="21"/>
        </w:rPr>
        <w:t>（17）《涂覆涂料前钢材表面处理 表面清洁度的目视评定 第2部分：已涂覆过的钢材表面局部清除原有涂层后的处理等级》（GB/T 8923.2-2008）；</w:t>
      </w:r>
    </w:p>
    <w:p w14:paraId="6C73AD68">
      <w:pPr>
        <w:spacing w:line="480" w:lineRule="exact"/>
        <w:ind w:left="1103" w:leftChars="225" w:hanging="630" w:hangingChars="300"/>
        <w:rPr>
          <w:rFonts w:ascii="宋体" w:hAnsi="宋体" w:cs="宋体"/>
          <w:szCs w:val="21"/>
        </w:rPr>
      </w:pPr>
      <w:r>
        <w:rPr>
          <w:rFonts w:hint="eastAsia" w:ascii="宋体" w:hAnsi="宋体" w:cs="宋体"/>
          <w:szCs w:val="21"/>
        </w:rPr>
        <w:t>（18）《涂覆涂料前钢材表面处理 表面清洁度的目视评定 第3部分：焊缝、边缘和其它区域的表面缺陷处理等级》（GB/T 8923.3-2009）；</w:t>
      </w:r>
    </w:p>
    <w:p w14:paraId="2E0C0C01">
      <w:pPr>
        <w:spacing w:line="480" w:lineRule="exact"/>
        <w:ind w:left="2789" w:leftChars="228" w:hanging="2310" w:hangingChars="1100"/>
        <w:rPr>
          <w:rFonts w:ascii="宋体" w:hAnsi="宋体" w:cs="宋体"/>
          <w:szCs w:val="21"/>
        </w:rPr>
      </w:pPr>
      <w:r>
        <w:rPr>
          <w:rFonts w:hint="eastAsia" w:ascii="宋体" w:hAnsi="宋体" w:cs="宋体"/>
          <w:szCs w:val="21"/>
        </w:rPr>
        <w:t>（19）《橡胶密封圈 给、排水管及污水管道用接口密封圈 材料规范》（GB/T 21873-2008）；</w:t>
      </w:r>
    </w:p>
    <w:p w14:paraId="174B1B1A">
      <w:pPr>
        <w:spacing w:line="480" w:lineRule="exact"/>
        <w:ind w:firstLine="420" w:firstLineChars="200"/>
        <w:rPr>
          <w:rFonts w:ascii="宋体" w:hAnsi="宋体" w:cs="宋体"/>
          <w:szCs w:val="21"/>
        </w:rPr>
      </w:pPr>
      <w:r>
        <w:rPr>
          <w:rFonts w:hint="eastAsia" w:ascii="宋体" w:hAnsi="宋体" w:cs="宋体"/>
          <w:szCs w:val="21"/>
        </w:rPr>
        <w:t>（20）《工业阀门 供货要求》（JB/T 7928-2014）；</w:t>
      </w:r>
    </w:p>
    <w:p w14:paraId="2F443B71">
      <w:pPr>
        <w:spacing w:line="480" w:lineRule="exact"/>
        <w:ind w:firstLine="420" w:firstLineChars="200"/>
        <w:rPr>
          <w:rFonts w:ascii="宋体" w:hAnsi="宋体" w:cs="宋体"/>
          <w:szCs w:val="21"/>
        </w:rPr>
      </w:pPr>
      <w:r>
        <w:rPr>
          <w:rFonts w:hint="eastAsia" w:ascii="宋体" w:hAnsi="宋体" w:cs="宋体"/>
          <w:szCs w:val="21"/>
        </w:rPr>
        <w:t>（21）其他现行相关国家标准、行业规范。</w:t>
      </w:r>
    </w:p>
    <w:p w14:paraId="774B6EB6">
      <w:pPr>
        <w:spacing w:line="480" w:lineRule="exact"/>
        <w:ind w:firstLine="420" w:firstLineChars="200"/>
        <w:rPr>
          <w:rFonts w:ascii="宋体" w:hAnsi="宋体" w:cs="宋体"/>
          <w:szCs w:val="21"/>
        </w:rPr>
      </w:pPr>
      <w:r>
        <w:rPr>
          <w:rFonts w:hint="eastAsia" w:ascii="宋体" w:hAnsi="宋体" w:cs="宋体"/>
          <w:szCs w:val="21"/>
        </w:rPr>
        <w:t>以上标准或规范若由新标准或规范替代时，则执行有效的新标准或规范。</w:t>
      </w:r>
    </w:p>
    <w:p w14:paraId="4AA342BB">
      <w:pPr>
        <w:spacing w:line="480" w:lineRule="exact"/>
        <w:ind w:firstLine="420" w:firstLineChars="200"/>
        <w:rPr>
          <w:rFonts w:ascii="宋体" w:hAnsi="宋体" w:cs="宋体"/>
          <w:szCs w:val="21"/>
          <w:highlight w:val="none"/>
        </w:rPr>
      </w:pPr>
      <w:r>
        <w:rPr>
          <w:rFonts w:hint="eastAsia" w:ascii="宋体" w:hAnsi="宋体" w:cs="宋体"/>
          <w:szCs w:val="21"/>
          <w:highlight w:val="none"/>
        </w:rPr>
        <w:t>2.4.3  卫生指标：承包人提供的产品，必须获得省级以上</w:t>
      </w:r>
      <w:r>
        <w:rPr>
          <w:rFonts w:hint="eastAsia" w:ascii="宋体" w:hAnsi="宋体" w:cs="宋体"/>
          <w:szCs w:val="21"/>
          <w:highlight w:val="none"/>
          <w:lang w:eastAsia="zh-CN"/>
        </w:rPr>
        <w:t>（</w:t>
      </w:r>
      <w:r>
        <w:rPr>
          <w:rFonts w:hint="eastAsia" w:ascii="宋体" w:hAnsi="宋体" w:cs="宋体"/>
          <w:szCs w:val="21"/>
          <w:highlight w:val="none"/>
        </w:rPr>
        <w:t>含省级</w:t>
      </w:r>
      <w:r>
        <w:rPr>
          <w:rFonts w:hint="eastAsia" w:ascii="宋体" w:hAnsi="宋体" w:cs="宋体"/>
          <w:szCs w:val="21"/>
          <w:highlight w:val="none"/>
          <w:lang w:eastAsia="zh-CN"/>
        </w:rPr>
        <w:t>）</w:t>
      </w:r>
      <w:r>
        <w:rPr>
          <w:rFonts w:hint="eastAsia" w:ascii="宋体" w:hAnsi="宋体" w:cs="宋体"/>
          <w:szCs w:val="21"/>
          <w:highlight w:val="none"/>
        </w:rPr>
        <w:t>卫生部门颁发的涉及饮用水卫生安全产品“卫生许可批件”。阀门所有零部件、密封件、防腐涂料均不得采用可能对饮用水造成污染的材料。</w:t>
      </w:r>
    </w:p>
    <w:p w14:paraId="5582ADB1">
      <w:pPr>
        <w:spacing w:line="480" w:lineRule="exact"/>
        <w:ind w:firstLine="420" w:firstLineChars="200"/>
        <w:rPr>
          <w:rFonts w:ascii="宋体" w:hAnsi="宋体" w:cs="宋体"/>
          <w:szCs w:val="21"/>
        </w:rPr>
      </w:pPr>
      <w:r>
        <w:rPr>
          <w:rFonts w:hint="eastAsia" w:ascii="宋体" w:hAnsi="宋体" w:cs="宋体"/>
          <w:szCs w:val="21"/>
        </w:rPr>
        <w:t>2.4.4  排气阀结构形式：复合式排气阀，由主排气阀和微量排气阀组成。</w:t>
      </w:r>
    </w:p>
    <w:p w14:paraId="7E7EA318">
      <w:pPr>
        <w:spacing w:line="480" w:lineRule="exact"/>
        <w:ind w:firstLine="420" w:firstLineChars="200"/>
        <w:rPr>
          <w:rFonts w:ascii="宋体" w:hAnsi="宋体" w:cs="宋体"/>
          <w:szCs w:val="21"/>
        </w:rPr>
      </w:pPr>
      <w:r>
        <w:rPr>
          <w:rFonts w:hint="eastAsia" w:ascii="宋体" w:hAnsi="宋体" w:cs="宋体"/>
          <w:szCs w:val="21"/>
        </w:rPr>
        <w:t>2.4.5  工作介质、温度及安装要求</w:t>
      </w:r>
    </w:p>
    <w:p w14:paraId="14AFF3E5">
      <w:pPr>
        <w:spacing w:line="480" w:lineRule="exact"/>
        <w:ind w:firstLine="420" w:firstLineChars="200"/>
        <w:rPr>
          <w:rFonts w:ascii="宋体" w:hAnsi="宋体" w:cs="宋体"/>
          <w:szCs w:val="21"/>
        </w:rPr>
      </w:pPr>
      <w:r>
        <w:rPr>
          <w:rFonts w:hint="eastAsia" w:ascii="宋体" w:hAnsi="宋体" w:cs="宋体"/>
          <w:szCs w:val="21"/>
        </w:rPr>
        <w:t>（1）本次采购的所有排气阀安装于输水管道阀井内。</w:t>
      </w:r>
    </w:p>
    <w:p w14:paraId="65A32CD1">
      <w:pPr>
        <w:spacing w:line="480" w:lineRule="exact"/>
        <w:ind w:firstLine="420" w:firstLineChars="200"/>
        <w:rPr>
          <w:rFonts w:ascii="宋体" w:hAnsi="宋体" w:cs="宋体"/>
          <w:szCs w:val="21"/>
        </w:rPr>
      </w:pPr>
      <w:r>
        <w:rPr>
          <w:rFonts w:hint="eastAsia" w:ascii="宋体" w:hAnsi="宋体" w:cs="宋体"/>
          <w:szCs w:val="21"/>
        </w:rPr>
        <w:t>（2）本次</w:t>
      </w:r>
      <w:r>
        <w:rPr>
          <w:rFonts w:hint="eastAsia" w:ascii="宋体" w:hAnsi="宋体" w:cs="宋体"/>
          <w:szCs w:val="21"/>
          <w:lang w:eastAsia="zh-CN"/>
        </w:rPr>
        <w:t>招选</w:t>
      </w:r>
      <w:r>
        <w:rPr>
          <w:rFonts w:hint="eastAsia" w:ascii="宋体" w:hAnsi="宋体" w:cs="宋体"/>
          <w:szCs w:val="21"/>
        </w:rPr>
        <w:t>的阀门要求工作为压力1.0MPa，温度0℃～80℃的原水。</w:t>
      </w:r>
    </w:p>
    <w:p w14:paraId="7D4DD2AF">
      <w:pPr>
        <w:spacing w:line="480" w:lineRule="exact"/>
        <w:ind w:firstLine="420" w:firstLineChars="200"/>
        <w:rPr>
          <w:rFonts w:ascii="宋体" w:hAnsi="宋体" w:cs="宋体"/>
          <w:szCs w:val="21"/>
        </w:rPr>
      </w:pPr>
      <w:r>
        <w:rPr>
          <w:rFonts w:hint="eastAsia" w:ascii="宋体" w:hAnsi="宋体" w:cs="宋体"/>
          <w:szCs w:val="21"/>
        </w:rPr>
        <w:t>（3）本次</w:t>
      </w:r>
      <w:r>
        <w:rPr>
          <w:rFonts w:hint="eastAsia" w:ascii="宋体" w:hAnsi="宋体" w:cs="宋体"/>
          <w:szCs w:val="21"/>
          <w:lang w:eastAsia="zh-CN"/>
        </w:rPr>
        <w:t>招选</w:t>
      </w:r>
      <w:r>
        <w:rPr>
          <w:rFonts w:hint="eastAsia" w:ascii="宋体" w:hAnsi="宋体" w:cs="宋体"/>
          <w:szCs w:val="21"/>
        </w:rPr>
        <w:t>的阀门要求压力在0.1Mpa时能起作用。</w:t>
      </w:r>
    </w:p>
    <w:p w14:paraId="1318231F">
      <w:pPr>
        <w:spacing w:line="480" w:lineRule="exact"/>
        <w:ind w:firstLine="420" w:firstLineChars="200"/>
        <w:rPr>
          <w:rFonts w:ascii="宋体" w:hAnsi="宋体" w:cs="宋体"/>
          <w:szCs w:val="21"/>
        </w:rPr>
      </w:pPr>
      <w:r>
        <w:rPr>
          <w:rFonts w:hint="eastAsia" w:ascii="宋体" w:hAnsi="宋体" w:cs="宋体"/>
          <w:szCs w:val="21"/>
        </w:rPr>
        <w:t>（4）主阀可快速大量进气、排气，微量排气阀可排放运行中管内积气。</w:t>
      </w:r>
    </w:p>
    <w:p w14:paraId="5752E891">
      <w:pPr>
        <w:spacing w:line="480" w:lineRule="exact"/>
        <w:ind w:firstLine="420" w:firstLineChars="200"/>
        <w:rPr>
          <w:rFonts w:ascii="宋体" w:hAnsi="宋体" w:cs="宋体"/>
          <w:szCs w:val="21"/>
        </w:rPr>
      </w:pPr>
      <w:r>
        <w:rPr>
          <w:rFonts w:hint="eastAsia" w:ascii="宋体" w:hAnsi="宋体" w:cs="宋体"/>
          <w:szCs w:val="21"/>
        </w:rPr>
        <w:t>（5）排气阀在完全关闭时，阀体和阀座应具有可靠的密封，渗漏量应为零。排气阀最小水关闭压力不得高于0.02MPa，在此水压之上，大、小排气口密封部件均不得脱离密封面，防止</w:t>
      </w:r>
      <w:r>
        <w:rPr>
          <w:rFonts w:hint="eastAsia" w:ascii="宋体" w:hAnsi="宋体" w:cs="宋体"/>
          <w:szCs w:val="21"/>
          <w:lang w:eastAsia="zh-CN"/>
        </w:rPr>
        <w:t>泄漏</w:t>
      </w:r>
      <w:r>
        <w:rPr>
          <w:rFonts w:hint="eastAsia" w:ascii="宋体" w:hAnsi="宋体" w:cs="宋体"/>
          <w:szCs w:val="21"/>
        </w:rPr>
        <w:t>。</w:t>
      </w:r>
    </w:p>
    <w:p w14:paraId="04BFCA29">
      <w:pPr>
        <w:spacing w:line="480" w:lineRule="exact"/>
        <w:ind w:firstLine="420" w:firstLineChars="200"/>
        <w:rPr>
          <w:rFonts w:ascii="宋体" w:hAnsi="宋体" w:cs="宋体"/>
          <w:szCs w:val="21"/>
        </w:rPr>
      </w:pPr>
      <w:r>
        <w:rPr>
          <w:rFonts w:hint="eastAsia" w:ascii="宋体" w:hAnsi="宋体" w:cs="宋体"/>
          <w:szCs w:val="21"/>
        </w:rPr>
        <w:t>2.4.6  材质要求</w:t>
      </w:r>
    </w:p>
    <w:p w14:paraId="3F6A67D0">
      <w:pPr>
        <w:spacing w:line="480" w:lineRule="exact"/>
        <w:ind w:firstLine="420" w:firstLineChars="200"/>
        <w:rPr>
          <w:rFonts w:ascii="宋体" w:hAnsi="宋体" w:cs="宋体"/>
          <w:szCs w:val="21"/>
        </w:rPr>
      </w:pPr>
      <w:r>
        <w:rPr>
          <w:rFonts w:hint="eastAsia" w:ascii="宋体" w:hAnsi="宋体" w:cs="宋体"/>
          <w:szCs w:val="21"/>
        </w:rPr>
        <w:t>（1）阀体、阀盖：材质采用球墨铸铁QT450-10或性能更优的材料，铸造工艺为树脂砂型，铸件过流表面应保证光滑，要符合GB/T 12227-2005规定的技术条件，铸件要求进行热处理以消除内应力。商标及材质牌号铸在阀体上。</w:t>
      </w:r>
    </w:p>
    <w:p w14:paraId="74E04C5D">
      <w:pPr>
        <w:spacing w:line="480" w:lineRule="exact"/>
        <w:ind w:firstLine="420" w:firstLineChars="200"/>
        <w:rPr>
          <w:rFonts w:ascii="宋体" w:hAnsi="宋体" w:cs="宋体"/>
          <w:szCs w:val="21"/>
        </w:rPr>
      </w:pPr>
      <w:r>
        <w:rPr>
          <w:rFonts w:hint="eastAsia" w:ascii="宋体" w:hAnsi="宋体" w:cs="宋体"/>
          <w:szCs w:val="21"/>
        </w:rPr>
        <w:t>（2）法兰材质与阀体一致，并与阀体铸为一体，法兰要符合GB/T 17241.6-2008的规定。</w:t>
      </w:r>
    </w:p>
    <w:p w14:paraId="66F23D91">
      <w:pPr>
        <w:spacing w:line="480" w:lineRule="exact"/>
        <w:ind w:firstLine="420" w:firstLineChars="200"/>
        <w:rPr>
          <w:rFonts w:ascii="宋体" w:hAnsi="宋体" w:cs="宋体"/>
          <w:szCs w:val="21"/>
        </w:rPr>
      </w:pPr>
      <w:r>
        <w:rPr>
          <w:rFonts w:hint="eastAsia" w:ascii="宋体" w:hAnsi="宋体" w:cs="宋体"/>
          <w:szCs w:val="21"/>
        </w:rPr>
        <w:t>（3）活塞浮球：材质采用不锈钢。</w:t>
      </w:r>
    </w:p>
    <w:p w14:paraId="1E7C337F">
      <w:pPr>
        <w:spacing w:line="480" w:lineRule="exact"/>
        <w:ind w:firstLine="420" w:firstLineChars="200"/>
        <w:rPr>
          <w:rFonts w:ascii="宋体" w:hAnsi="宋体" w:cs="宋体"/>
          <w:szCs w:val="21"/>
        </w:rPr>
      </w:pPr>
      <w:r>
        <w:rPr>
          <w:rFonts w:hint="eastAsia" w:ascii="宋体" w:hAnsi="宋体" w:cs="宋体"/>
          <w:szCs w:val="21"/>
        </w:rPr>
        <w:t xml:space="preserve">（4）排气阀内的材料全部材质应采用不锈钢，内腔应用工程塑料作为保护体，防止空气流速过快时直接破坏浮球。 </w:t>
      </w:r>
    </w:p>
    <w:p w14:paraId="77ECA18A">
      <w:pPr>
        <w:spacing w:line="480" w:lineRule="exact"/>
        <w:ind w:firstLine="420" w:firstLineChars="200"/>
        <w:rPr>
          <w:rFonts w:ascii="宋体" w:hAnsi="宋体" w:cs="宋体"/>
          <w:szCs w:val="21"/>
        </w:rPr>
      </w:pPr>
      <w:r>
        <w:rPr>
          <w:rFonts w:hint="eastAsia" w:ascii="宋体" w:hAnsi="宋体" w:cs="宋体"/>
          <w:szCs w:val="21"/>
        </w:rPr>
        <w:t>（5）排气阀内密封(口)垫座的材质采用铝青铜。</w:t>
      </w:r>
    </w:p>
    <w:p w14:paraId="6C435E60">
      <w:pPr>
        <w:spacing w:line="480" w:lineRule="exact"/>
        <w:ind w:firstLine="420" w:firstLineChars="200"/>
        <w:rPr>
          <w:rFonts w:ascii="宋体" w:hAnsi="宋体" w:cs="宋体"/>
          <w:szCs w:val="21"/>
        </w:rPr>
      </w:pPr>
      <w:r>
        <w:rPr>
          <w:rFonts w:hint="eastAsia" w:ascii="宋体" w:hAnsi="宋体" w:cs="宋体"/>
          <w:szCs w:val="21"/>
        </w:rPr>
        <w:t>（6）阀帽：材质采用灰铸铁或性能更优的材料。</w:t>
      </w:r>
    </w:p>
    <w:p w14:paraId="29AB22BB">
      <w:pPr>
        <w:spacing w:line="480" w:lineRule="exact"/>
        <w:ind w:firstLine="420" w:firstLineChars="200"/>
        <w:rPr>
          <w:rFonts w:ascii="宋体" w:hAnsi="宋体" w:cs="宋体"/>
          <w:szCs w:val="21"/>
        </w:rPr>
      </w:pPr>
      <w:r>
        <w:rPr>
          <w:rFonts w:hint="eastAsia" w:ascii="宋体" w:hAnsi="宋体" w:cs="宋体"/>
          <w:szCs w:val="21"/>
        </w:rPr>
        <w:t>（7）密封圈：密封圈采用</w:t>
      </w:r>
      <w:r>
        <w:rPr>
          <w:rFonts w:hint="eastAsia" w:ascii="宋体" w:hAnsi="宋体" w:cs="宋体"/>
          <w:szCs w:val="21"/>
          <w:lang w:eastAsia="zh-CN"/>
        </w:rPr>
        <w:t>丁腈橡胶</w:t>
      </w:r>
      <w:r>
        <w:rPr>
          <w:rFonts w:hint="eastAsia" w:ascii="宋体" w:hAnsi="宋体" w:cs="宋体"/>
          <w:szCs w:val="21"/>
        </w:rPr>
        <w:t>(NBR)，其密封试验应按相应的国家标准要求执行。</w:t>
      </w:r>
    </w:p>
    <w:p w14:paraId="000B611C">
      <w:pPr>
        <w:spacing w:line="480" w:lineRule="exact"/>
        <w:ind w:firstLine="420" w:firstLineChars="200"/>
        <w:rPr>
          <w:rFonts w:ascii="宋体" w:hAnsi="宋体" w:cs="宋体"/>
          <w:szCs w:val="21"/>
        </w:rPr>
      </w:pPr>
      <w:r>
        <w:rPr>
          <w:rFonts w:hint="eastAsia" w:ascii="宋体" w:hAnsi="宋体" w:cs="宋体"/>
          <w:szCs w:val="21"/>
        </w:rPr>
        <w:t>（8）螺柱、螺栓、螺母采用低合金钢制造，性能不低于8.8级，镀锌钝化。</w:t>
      </w:r>
    </w:p>
    <w:p w14:paraId="648A8B6B">
      <w:pPr>
        <w:spacing w:line="480" w:lineRule="exact"/>
        <w:ind w:firstLine="420" w:firstLineChars="200"/>
        <w:rPr>
          <w:rFonts w:ascii="宋体" w:hAnsi="宋体" w:cs="宋体"/>
          <w:szCs w:val="21"/>
        </w:rPr>
      </w:pPr>
      <w:r>
        <w:rPr>
          <w:rFonts w:hint="eastAsia" w:ascii="宋体" w:hAnsi="宋体" w:cs="宋体"/>
          <w:szCs w:val="21"/>
        </w:rPr>
        <w:t>2.4.7  其他技术要求</w:t>
      </w:r>
    </w:p>
    <w:p w14:paraId="64D67DCD">
      <w:pPr>
        <w:spacing w:line="480" w:lineRule="exact"/>
        <w:ind w:firstLine="420" w:firstLineChars="200"/>
        <w:rPr>
          <w:rFonts w:ascii="宋体" w:hAnsi="宋体" w:cs="宋体"/>
          <w:szCs w:val="21"/>
        </w:rPr>
      </w:pPr>
      <w:r>
        <w:rPr>
          <w:rFonts w:hint="eastAsia" w:ascii="宋体" w:hAnsi="宋体" w:cs="宋体"/>
          <w:szCs w:val="21"/>
        </w:rPr>
        <w:t>（1）密封橡胶的性能要求</w:t>
      </w:r>
    </w:p>
    <w:p w14:paraId="4AED3E3E">
      <w:pPr>
        <w:spacing w:line="480" w:lineRule="exact"/>
        <w:ind w:firstLine="420" w:firstLineChars="200"/>
        <w:rPr>
          <w:rFonts w:ascii="宋体" w:hAnsi="宋体" w:cs="宋体"/>
          <w:szCs w:val="21"/>
        </w:rPr>
      </w:pPr>
      <w:r>
        <w:rPr>
          <w:rFonts w:hint="eastAsia" w:ascii="宋体" w:hAnsi="宋体" w:cs="宋体"/>
          <w:szCs w:val="21"/>
        </w:rPr>
        <w:t>1）所有阀门采用的所有</w:t>
      </w:r>
      <w:r>
        <w:rPr>
          <w:rFonts w:hint="eastAsia" w:ascii="宋体" w:hAnsi="宋体" w:cs="宋体"/>
          <w:szCs w:val="21"/>
          <w:lang w:eastAsia="zh-CN"/>
        </w:rPr>
        <w:t>丁腈橡胶</w:t>
      </w:r>
      <w:r>
        <w:rPr>
          <w:rFonts w:hint="eastAsia" w:ascii="宋体" w:hAnsi="宋体" w:cs="宋体"/>
          <w:szCs w:val="21"/>
        </w:rPr>
        <w:t>应有良好的耐磨性，抗腐蚀性，抗冲击性、抗</w:t>
      </w:r>
      <w:r>
        <w:rPr>
          <w:rFonts w:hint="eastAsia" w:ascii="宋体" w:hAnsi="宋体" w:cs="宋体"/>
          <w:szCs w:val="21"/>
          <w:lang w:eastAsia="zh-CN"/>
        </w:rPr>
        <w:t>臭氧</w:t>
      </w:r>
      <w:r>
        <w:rPr>
          <w:rFonts w:hint="eastAsia" w:ascii="宋体" w:hAnsi="宋体" w:cs="宋体"/>
          <w:szCs w:val="21"/>
        </w:rPr>
        <w:t>、抗微生物侵蚀及抗老化等性能，正常使用寿命不少于20年。严禁采用再生橡胶。</w:t>
      </w:r>
    </w:p>
    <w:p w14:paraId="3C9A26B8">
      <w:pPr>
        <w:spacing w:line="480" w:lineRule="exact"/>
        <w:ind w:firstLine="420" w:firstLineChars="200"/>
        <w:rPr>
          <w:rFonts w:ascii="宋体" w:hAnsi="宋体" w:cs="宋体"/>
          <w:szCs w:val="21"/>
        </w:rPr>
      </w:pPr>
      <w:r>
        <w:rPr>
          <w:rFonts w:hint="eastAsia" w:ascii="宋体" w:hAnsi="宋体" w:cs="宋体"/>
          <w:szCs w:val="21"/>
        </w:rPr>
        <w:t>2）橡胶成分中，应不含植物油、植物油衍生物、动物脂和动物油，铜离子含量不应超过百万分之八，并且应含有铜的抑制剂，以防止铜使橡胶材质老化。橡胶成分中，每100个单位烃中含蜡量不应超过1.5%。</w:t>
      </w:r>
    </w:p>
    <w:p w14:paraId="08CAE35E">
      <w:pPr>
        <w:spacing w:line="480" w:lineRule="exact"/>
        <w:ind w:firstLine="420" w:firstLineChars="200"/>
        <w:rPr>
          <w:rFonts w:ascii="宋体" w:hAnsi="宋体" w:cs="宋体"/>
          <w:szCs w:val="21"/>
        </w:rPr>
      </w:pPr>
      <w:r>
        <w:rPr>
          <w:rFonts w:hint="eastAsia" w:ascii="宋体" w:hAnsi="宋体" w:cs="宋体"/>
          <w:szCs w:val="21"/>
        </w:rPr>
        <w:t>3）运至现场的密封圈不得有任何损坏现象，并且在阀门安装、使用过程中不得有松动，脱落、渗漏现象。</w:t>
      </w:r>
    </w:p>
    <w:p w14:paraId="58F3DD5B">
      <w:pPr>
        <w:spacing w:line="480" w:lineRule="exact"/>
        <w:ind w:firstLine="420" w:firstLineChars="200"/>
        <w:rPr>
          <w:rFonts w:ascii="宋体" w:hAnsi="宋体" w:cs="宋体"/>
          <w:szCs w:val="21"/>
        </w:rPr>
      </w:pPr>
      <w:r>
        <w:rPr>
          <w:rFonts w:hint="eastAsia" w:ascii="宋体" w:hAnsi="宋体" w:cs="宋体"/>
          <w:szCs w:val="21"/>
        </w:rPr>
        <w:t>（2）其它材料要求</w:t>
      </w:r>
    </w:p>
    <w:p w14:paraId="4F91B632">
      <w:pPr>
        <w:spacing w:line="480" w:lineRule="exact"/>
        <w:ind w:firstLine="420" w:firstLineChars="200"/>
        <w:rPr>
          <w:rFonts w:ascii="宋体" w:hAnsi="宋体" w:cs="宋体"/>
          <w:szCs w:val="21"/>
        </w:rPr>
      </w:pPr>
      <w:r>
        <w:rPr>
          <w:rFonts w:hint="eastAsia" w:ascii="宋体" w:hAnsi="宋体" w:cs="宋体"/>
          <w:szCs w:val="21"/>
        </w:rPr>
        <w:t>1）上述没有规定材料的零件，如果它是在阀体内与水接触，并且阀门维修时需要拆卸的零部件、紧固件，均应采用不锈钢材料制造。</w:t>
      </w:r>
    </w:p>
    <w:p w14:paraId="4F338563">
      <w:pPr>
        <w:spacing w:line="480" w:lineRule="exact"/>
        <w:ind w:firstLine="420" w:firstLineChars="200"/>
        <w:rPr>
          <w:rFonts w:ascii="宋体" w:hAnsi="宋体" w:cs="宋体"/>
          <w:szCs w:val="21"/>
        </w:rPr>
      </w:pPr>
      <w:r>
        <w:rPr>
          <w:rFonts w:hint="eastAsia" w:ascii="宋体" w:hAnsi="宋体" w:cs="宋体"/>
          <w:szCs w:val="21"/>
        </w:rPr>
        <w:t>2）采购明细表及上述未规定的阀门技术条件，则按国标规定执行。</w:t>
      </w:r>
    </w:p>
    <w:p w14:paraId="1CAA4CED">
      <w:pPr>
        <w:spacing w:line="480" w:lineRule="exact"/>
        <w:ind w:firstLine="420" w:firstLineChars="200"/>
        <w:rPr>
          <w:rFonts w:ascii="宋体" w:hAnsi="宋体" w:cs="宋体"/>
          <w:szCs w:val="21"/>
        </w:rPr>
      </w:pPr>
      <w:r>
        <w:rPr>
          <w:rFonts w:hint="eastAsia" w:ascii="宋体" w:hAnsi="宋体" w:cs="宋体"/>
          <w:szCs w:val="21"/>
        </w:rPr>
        <w:t>2.4.8  涂层</w:t>
      </w:r>
    </w:p>
    <w:p w14:paraId="6CE6B290">
      <w:pPr>
        <w:spacing w:line="480" w:lineRule="exact"/>
        <w:ind w:firstLine="420" w:firstLineChars="200"/>
        <w:rPr>
          <w:rFonts w:ascii="宋体" w:hAnsi="宋体" w:cs="宋体"/>
          <w:szCs w:val="21"/>
        </w:rPr>
      </w:pPr>
      <w:r>
        <w:rPr>
          <w:rFonts w:hint="eastAsia" w:ascii="宋体" w:hAnsi="宋体" w:cs="宋体"/>
          <w:szCs w:val="21"/>
        </w:rPr>
        <w:t>防腐前的阀体、阀盖、阀帽表面至少进行喷砂除锈，达到Sa2.5级；之后将铸件加热后才进行静电喷涂无毒环氧树脂粉末工艺，最后烘干固化，涂层厚度不大于1.4mm，但不小于0.3mm。阀门内、外部的防腐必须是上述喷涂或更好的工艺，不管采用何种工艺，都必须保证涂层厚度均匀、色泽均一，涂层表面要光洁，无流痕。</w:t>
      </w:r>
    </w:p>
    <w:p w14:paraId="717A9D57">
      <w:pPr>
        <w:spacing w:line="480" w:lineRule="exact"/>
        <w:ind w:firstLine="420" w:firstLineChars="200"/>
        <w:rPr>
          <w:rFonts w:ascii="宋体" w:hAnsi="宋体" w:cs="宋体"/>
          <w:szCs w:val="21"/>
        </w:rPr>
      </w:pPr>
      <w:r>
        <w:rPr>
          <w:rFonts w:hint="eastAsia" w:ascii="宋体" w:hAnsi="宋体" w:cs="宋体"/>
          <w:szCs w:val="21"/>
        </w:rPr>
        <w:t>2.4.9  采购明细表及上述未规定的阀门技术条件，则按国标规定执行。</w:t>
      </w:r>
    </w:p>
    <w:p w14:paraId="58921FB2">
      <w:pPr>
        <w:spacing w:line="480" w:lineRule="exact"/>
        <w:ind w:firstLine="420" w:firstLineChars="200"/>
        <w:rPr>
          <w:rFonts w:ascii="宋体" w:hAnsi="宋体" w:cs="宋体"/>
          <w:szCs w:val="21"/>
          <w:highlight w:val="none"/>
        </w:rPr>
      </w:pPr>
      <w:r>
        <w:rPr>
          <w:rFonts w:hint="eastAsia" w:ascii="宋体" w:hAnsi="宋体" w:cs="宋体"/>
          <w:szCs w:val="21"/>
          <w:highlight w:val="none"/>
        </w:rPr>
        <w:t>2.5  伸缩节技术要求</w:t>
      </w:r>
    </w:p>
    <w:p w14:paraId="0842422F">
      <w:pPr>
        <w:spacing w:line="480" w:lineRule="exact"/>
        <w:ind w:firstLine="420" w:firstLineChars="200"/>
        <w:rPr>
          <w:rFonts w:ascii="宋体" w:hAnsi="宋体" w:cs="宋体"/>
          <w:szCs w:val="21"/>
          <w:highlight w:val="none"/>
        </w:rPr>
      </w:pPr>
      <w:r>
        <w:rPr>
          <w:rFonts w:hint="eastAsia" w:ascii="宋体" w:hAnsi="宋体" w:cs="宋体"/>
          <w:szCs w:val="21"/>
          <w:highlight w:val="none"/>
        </w:rPr>
        <w:t>2.5.1  概述</w:t>
      </w:r>
    </w:p>
    <w:p w14:paraId="0AE83609">
      <w:pPr>
        <w:spacing w:line="480" w:lineRule="exact"/>
        <w:ind w:firstLine="420" w:firstLineChars="200"/>
        <w:rPr>
          <w:rFonts w:ascii="宋体" w:hAnsi="宋体" w:cs="宋体"/>
          <w:szCs w:val="21"/>
        </w:rPr>
      </w:pPr>
      <w:r>
        <w:rPr>
          <w:rFonts w:hint="eastAsia" w:ascii="宋体" w:hAnsi="宋体" w:cs="宋体"/>
          <w:szCs w:val="21"/>
        </w:rPr>
        <w:t>伸缩节用于输水管道工程中各种阀门连接处，以便阀门的安装、维护、拆卸。安装在输水管道阀井内，手动操作。</w:t>
      </w:r>
    </w:p>
    <w:p w14:paraId="62338BEE">
      <w:pPr>
        <w:spacing w:line="480" w:lineRule="exact"/>
        <w:ind w:firstLine="420" w:firstLineChars="200"/>
        <w:rPr>
          <w:rFonts w:ascii="宋体" w:hAnsi="宋体" w:cs="宋体"/>
          <w:szCs w:val="21"/>
        </w:rPr>
      </w:pPr>
      <w:r>
        <w:rPr>
          <w:rFonts w:hint="eastAsia" w:ascii="宋体" w:hAnsi="宋体" w:cs="宋体"/>
          <w:szCs w:val="21"/>
        </w:rPr>
        <w:t>2.5.2  标准要求：</w:t>
      </w:r>
    </w:p>
    <w:p w14:paraId="16C1A4D6">
      <w:pPr>
        <w:spacing w:line="480" w:lineRule="exact"/>
        <w:ind w:firstLine="420" w:firstLineChars="200"/>
        <w:rPr>
          <w:rFonts w:ascii="宋体" w:hAnsi="宋体" w:cs="宋体"/>
          <w:szCs w:val="21"/>
        </w:rPr>
      </w:pPr>
      <w:r>
        <w:rPr>
          <w:rFonts w:hint="eastAsia" w:ascii="宋体" w:hAnsi="宋体" w:cs="宋体"/>
          <w:szCs w:val="21"/>
        </w:rPr>
        <w:t>伸缩节的设计符合如下相关标准：</w:t>
      </w:r>
    </w:p>
    <w:p w14:paraId="30362CA0">
      <w:pPr>
        <w:spacing w:line="480" w:lineRule="exact"/>
        <w:ind w:firstLine="420" w:firstLineChars="200"/>
        <w:rPr>
          <w:rFonts w:ascii="宋体" w:hAnsi="宋体" w:cs="宋体"/>
          <w:szCs w:val="21"/>
        </w:rPr>
      </w:pPr>
      <w:r>
        <w:rPr>
          <w:rFonts w:hint="eastAsia" w:ascii="宋体" w:hAnsi="宋体" w:cs="宋体"/>
          <w:szCs w:val="21"/>
        </w:rPr>
        <w:t>（1）《管路补偿接头》（GB/T 12465-2007）；</w:t>
      </w:r>
    </w:p>
    <w:p w14:paraId="2F89DD3C">
      <w:pPr>
        <w:spacing w:line="480" w:lineRule="exact"/>
        <w:ind w:firstLine="413" w:firstLineChars="197"/>
        <w:rPr>
          <w:rFonts w:ascii="宋体" w:hAnsi="宋体" w:cs="宋体"/>
          <w:szCs w:val="21"/>
        </w:rPr>
      </w:pPr>
      <w:r>
        <w:rPr>
          <w:rFonts w:hint="eastAsia" w:ascii="宋体" w:hAnsi="宋体" w:cs="宋体"/>
          <w:szCs w:val="21"/>
        </w:rPr>
        <w:t>（2）《管道元件 公称压力的定义和选用》（GB/T 1048-2019）；</w:t>
      </w:r>
    </w:p>
    <w:p w14:paraId="09451F90">
      <w:pPr>
        <w:spacing w:line="480" w:lineRule="exact"/>
        <w:ind w:firstLine="420" w:firstLineChars="200"/>
        <w:rPr>
          <w:rFonts w:ascii="宋体" w:hAnsi="宋体" w:cs="宋体"/>
          <w:szCs w:val="21"/>
        </w:rPr>
      </w:pPr>
      <w:r>
        <w:rPr>
          <w:rFonts w:hint="eastAsia" w:ascii="宋体" w:hAnsi="宋体" w:cs="宋体"/>
          <w:szCs w:val="21"/>
        </w:rPr>
        <w:t>（3）《整体铸铁法兰》（GB/T 17241.6-2008）；</w:t>
      </w:r>
    </w:p>
    <w:p w14:paraId="63F108EF">
      <w:pPr>
        <w:spacing w:line="480" w:lineRule="exact"/>
        <w:ind w:firstLine="420" w:firstLineChars="200"/>
        <w:rPr>
          <w:rFonts w:ascii="宋体" w:hAnsi="宋体" w:cs="宋体"/>
          <w:szCs w:val="21"/>
        </w:rPr>
      </w:pPr>
      <w:r>
        <w:rPr>
          <w:rFonts w:hint="eastAsia" w:ascii="宋体" w:hAnsi="宋体" w:cs="宋体"/>
          <w:szCs w:val="21"/>
        </w:rPr>
        <w:t>（4）《工业阀门 压力试验》（GB/T 13927-2008）；</w:t>
      </w:r>
    </w:p>
    <w:p w14:paraId="5C7941E5">
      <w:pPr>
        <w:spacing w:line="480" w:lineRule="exact"/>
        <w:ind w:firstLine="420" w:firstLineChars="200"/>
        <w:rPr>
          <w:rFonts w:ascii="宋体" w:hAnsi="宋体" w:cs="宋体"/>
          <w:szCs w:val="21"/>
        </w:rPr>
      </w:pPr>
      <w:r>
        <w:rPr>
          <w:rFonts w:hint="eastAsia" w:ascii="宋体" w:hAnsi="宋体" w:cs="宋体"/>
          <w:szCs w:val="21"/>
        </w:rPr>
        <w:t>（5）《通用阀门 球墨铸铁件技术条件》（GB/T 12227-2005）；</w:t>
      </w:r>
    </w:p>
    <w:p w14:paraId="17E7BF70">
      <w:pPr>
        <w:spacing w:line="480" w:lineRule="exact"/>
        <w:ind w:firstLine="420" w:firstLineChars="200"/>
        <w:rPr>
          <w:rFonts w:ascii="宋体" w:hAnsi="宋体" w:cs="宋体"/>
          <w:szCs w:val="21"/>
        </w:rPr>
      </w:pPr>
      <w:r>
        <w:rPr>
          <w:rFonts w:hint="eastAsia" w:ascii="宋体" w:hAnsi="宋体" w:cs="宋体"/>
          <w:szCs w:val="21"/>
        </w:rPr>
        <w:t>（6）《通用阀门 碳素钢锻件技术条件》（GB/T 12228-2005）；</w:t>
      </w:r>
    </w:p>
    <w:p w14:paraId="68F35D81">
      <w:pPr>
        <w:spacing w:line="480" w:lineRule="exact"/>
        <w:ind w:firstLine="420" w:firstLineChars="200"/>
        <w:rPr>
          <w:rFonts w:ascii="宋体" w:hAnsi="宋体" w:cs="宋体"/>
          <w:szCs w:val="21"/>
        </w:rPr>
      </w:pPr>
      <w:r>
        <w:rPr>
          <w:rFonts w:hint="eastAsia" w:ascii="宋体" w:hAnsi="宋体" w:cs="宋体"/>
          <w:szCs w:val="21"/>
        </w:rPr>
        <w:t>（7）《通用阀门 碳素钢铸件技术条件》（GB/T 12229-2005）；</w:t>
      </w:r>
    </w:p>
    <w:p w14:paraId="0907DED1">
      <w:pPr>
        <w:spacing w:line="480" w:lineRule="exact"/>
        <w:ind w:firstLine="420" w:firstLineChars="200"/>
        <w:rPr>
          <w:rFonts w:ascii="宋体" w:hAnsi="宋体" w:cs="宋体"/>
          <w:szCs w:val="21"/>
        </w:rPr>
      </w:pPr>
      <w:r>
        <w:rPr>
          <w:rFonts w:hint="eastAsia" w:ascii="宋体" w:hAnsi="宋体" w:cs="宋体"/>
          <w:szCs w:val="21"/>
        </w:rPr>
        <w:t>（8）《通用阀门 不锈钢铸件技术条件》（GB/T 12230-2005）；</w:t>
      </w:r>
    </w:p>
    <w:p w14:paraId="7DCBDF11">
      <w:pPr>
        <w:spacing w:line="480" w:lineRule="exact"/>
        <w:ind w:firstLine="420" w:firstLineChars="200"/>
        <w:rPr>
          <w:rFonts w:ascii="宋体" w:hAnsi="宋体" w:cs="宋体"/>
          <w:szCs w:val="21"/>
        </w:rPr>
      </w:pPr>
      <w:r>
        <w:rPr>
          <w:rFonts w:hint="eastAsia" w:ascii="宋体" w:hAnsi="宋体" w:cs="宋体"/>
          <w:szCs w:val="21"/>
        </w:rPr>
        <w:t>（9）《板式平焊钢制管法兰》（GB/T 9119-2010）；</w:t>
      </w:r>
    </w:p>
    <w:p w14:paraId="677B2E7B">
      <w:pPr>
        <w:spacing w:line="480" w:lineRule="exact"/>
        <w:ind w:firstLine="420" w:firstLineChars="200"/>
        <w:rPr>
          <w:rFonts w:ascii="宋体" w:hAnsi="宋体" w:cs="宋体"/>
          <w:szCs w:val="21"/>
        </w:rPr>
      </w:pPr>
      <w:r>
        <w:rPr>
          <w:rFonts w:hint="eastAsia" w:ascii="宋体" w:hAnsi="宋体" w:cs="宋体"/>
          <w:szCs w:val="21"/>
        </w:rPr>
        <w:t>（10）《不锈钢棒》（GB/T 1220-2007）；</w:t>
      </w:r>
    </w:p>
    <w:p w14:paraId="474DF8E5">
      <w:pPr>
        <w:spacing w:line="480" w:lineRule="exact"/>
        <w:ind w:left="479" w:leftChars="228"/>
        <w:rPr>
          <w:rFonts w:ascii="宋体" w:hAnsi="宋体" w:cs="宋体"/>
          <w:szCs w:val="21"/>
        </w:rPr>
      </w:pPr>
      <w:r>
        <w:rPr>
          <w:rFonts w:hint="eastAsia" w:ascii="宋体" w:hAnsi="宋体" w:cs="宋体"/>
          <w:szCs w:val="21"/>
        </w:rPr>
        <w:t>（11）《生活饮用水输配水设备及防护材料的安全性评价标准》（GB/T17219-1998）；</w:t>
      </w:r>
    </w:p>
    <w:p w14:paraId="20972006">
      <w:pPr>
        <w:spacing w:line="480" w:lineRule="exact"/>
        <w:ind w:firstLine="420" w:firstLineChars="200"/>
        <w:rPr>
          <w:rFonts w:ascii="宋体" w:hAnsi="宋体" w:cs="宋体"/>
          <w:szCs w:val="21"/>
        </w:rPr>
      </w:pPr>
      <w:r>
        <w:rPr>
          <w:rFonts w:hint="eastAsia" w:ascii="宋体" w:hAnsi="宋体" w:cs="宋体"/>
          <w:szCs w:val="21"/>
        </w:rPr>
        <w:t>（12）《阀门的检验和试验》（GB/T 26480-2011）；</w:t>
      </w:r>
    </w:p>
    <w:p w14:paraId="44BB5BFB">
      <w:pPr>
        <w:spacing w:line="480" w:lineRule="exact"/>
        <w:ind w:left="1103" w:leftChars="225" w:hanging="630" w:hangingChars="300"/>
        <w:rPr>
          <w:rFonts w:ascii="宋体" w:hAnsi="宋体" w:cs="宋体"/>
          <w:szCs w:val="21"/>
        </w:rPr>
      </w:pPr>
      <w:r>
        <w:rPr>
          <w:rFonts w:hint="eastAsia" w:ascii="宋体" w:hAnsi="宋体" w:cs="宋体"/>
          <w:szCs w:val="21"/>
        </w:rPr>
        <w:t>（13）《涂覆涂料前钢材表面处理 表面清洁度的目视评定 第1部分：未涂覆过的钢材表面和全面清除原有涂层后的钢材表面的锈蚀等级和处理等级》（GB/T 8923.1-2011）；</w:t>
      </w:r>
    </w:p>
    <w:p w14:paraId="0D473ABD">
      <w:pPr>
        <w:spacing w:line="480" w:lineRule="exact"/>
        <w:ind w:left="1103" w:leftChars="225" w:hanging="630" w:hangingChars="300"/>
        <w:rPr>
          <w:rFonts w:ascii="宋体" w:hAnsi="宋体" w:cs="宋体"/>
          <w:szCs w:val="21"/>
        </w:rPr>
      </w:pPr>
      <w:r>
        <w:rPr>
          <w:rFonts w:hint="eastAsia" w:ascii="宋体" w:hAnsi="宋体" w:cs="宋体"/>
          <w:szCs w:val="21"/>
        </w:rPr>
        <w:t>（14）《涂覆涂料前钢材表面处理 表面清洁度的目视评定 第2部分：已涂覆过的钢材表面局部清除原有涂层后的处理等级》（GB/T 8923.2-2008）；</w:t>
      </w:r>
    </w:p>
    <w:p w14:paraId="60B3F45E">
      <w:pPr>
        <w:spacing w:line="480" w:lineRule="exact"/>
        <w:ind w:left="1103" w:leftChars="225" w:hanging="630" w:hangingChars="300"/>
        <w:rPr>
          <w:rFonts w:ascii="宋体" w:hAnsi="宋体" w:cs="宋体"/>
          <w:szCs w:val="21"/>
        </w:rPr>
      </w:pPr>
      <w:r>
        <w:rPr>
          <w:rFonts w:hint="eastAsia" w:ascii="宋体" w:hAnsi="宋体" w:cs="宋体"/>
          <w:szCs w:val="21"/>
        </w:rPr>
        <w:t>（15）《涂覆涂料前钢材表面处理 表面清洁度的目视评定 第3部分：焊缝、边缘和</w:t>
      </w:r>
      <w:r>
        <w:rPr>
          <w:rFonts w:hint="eastAsia" w:ascii="宋体" w:hAnsi="宋体" w:cs="宋体"/>
          <w:szCs w:val="21"/>
          <w:lang w:eastAsia="zh-CN"/>
        </w:rPr>
        <w:t>其他</w:t>
      </w:r>
      <w:r>
        <w:rPr>
          <w:rFonts w:hint="eastAsia" w:ascii="宋体" w:hAnsi="宋体" w:cs="宋体"/>
          <w:szCs w:val="21"/>
        </w:rPr>
        <w:t>区域的表面缺陷处理等级》（GB/T 8923.3-2009）；</w:t>
      </w:r>
    </w:p>
    <w:p w14:paraId="12ADF2B1">
      <w:pPr>
        <w:spacing w:line="480" w:lineRule="exact"/>
        <w:ind w:firstLine="420" w:firstLineChars="200"/>
        <w:rPr>
          <w:rFonts w:ascii="宋体" w:hAnsi="宋体" w:cs="宋体"/>
          <w:szCs w:val="21"/>
        </w:rPr>
      </w:pPr>
      <w:r>
        <w:rPr>
          <w:rFonts w:hint="eastAsia" w:ascii="宋体" w:hAnsi="宋体" w:cs="宋体"/>
          <w:szCs w:val="21"/>
        </w:rPr>
        <w:t>（16）《工业阀门 供货要求》（JB/T 7928-2014）；</w:t>
      </w:r>
    </w:p>
    <w:p w14:paraId="0419F43E">
      <w:pPr>
        <w:spacing w:line="480" w:lineRule="exact"/>
        <w:ind w:left="2789" w:leftChars="228" w:hanging="2310" w:hangingChars="1100"/>
        <w:rPr>
          <w:rFonts w:ascii="宋体" w:hAnsi="宋体" w:cs="宋体"/>
          <w:szCs w:val="21"/>
        </w:rPr>
      </w:pPr>
      <w:r>
        <w:rPr>
          <w:rFonts w:hint="eastAsia" w:ascii="宋体" w:hAnsi="宋体" w:cs="宋体"/>
          <w:szCs w:val="21"/>
        </w:rPr>
        <w:t>（17）《橡胶密封圈 给、排水管及污水管道用接口密封圈 材料规范》（GB/T21873-2008）；</w:t>
      </w:r>
    </w:p>
    <w:p w14:paraId="73C5F53D">
      <w:pPr>
        <w:spacing w:line="480" w:lineRule="exact"/>
        <w:ind w:firstLine="420" w:firstLineChars="200"/>
        <w:rPr>
          <w:rFonts w:ascii="宋体" w:hAnsi="宋体" w:cs="宋体"/>
          <w:szCs w:val="21"/>
        </w:rPr>
      </w:pPr>
      <w:r>
        <w:rPr>
          <w:rFonts w:hint="eastAsia" w:ascii="宋体" w:hAnsi="宋体" w:cs="宋体"/>
          <w:szCs w:val="21"/>
        </w:rPr>
        <w:t>（18）其他现行相关国家标准、行业规范。</w:t>
      </w:r>
    </w:p>
    <w:p w14:paraId="2DEC28CE">
      <w:pPr>
        <w:spacing w:line="480" w:lineRule="exact"/>
        <w:ind w:firstLine="420" w:firstLineChars="200"/>
        <w:rPr>
          <w:rFonts w:ascii="宋体" w:hAnsi="宋体" w:cs="宋体"/>
          <w:szCs w:val="21"/>
        </w:rPr>
      </w:pPr>
      <w:r>
        <w:rPr>
          <w:rFonts w:hint="eastAsia" w:ascii="宋体" w:hAnsi="宋体" w:cs="宋体"/>
          <w:szCs w:val="21"/>
        </w:rPr>
        <w:t>以上标准或规范若由新标准或规范替代时，则执行有效的新标准或规范。</w:t>
      </w:r>
    </w:p>
    <w:p w14:paraId="69936AF6">
      <w:pPr>
        <w:spacing w:line="480" w:lineRule="exact"/>
        <w:ind w:firstLine="420" w:firstLineChars="200"/>
        <w:rPr>
          <w:rFonts w:ascii="宋体" w:hAnsi="宋体" w:cs="宋体"/>
          <w:szCs w:val="21"/>
        </w:rPr>
      </w:pPr>
      <w:r>
        <w:rPr>
          <w:rFonts w:hint="eastAsia" w:ascii="宋体" w:hAnsi="宋体" w:cs="宋体"/>
          <w:szCs w:val="21"/>
        </w:rPr>
        <w:t>2.5.3  结构及性能</w:t>
      </w:r>
    </w:p>
    <w:p w14:paraId="2B7C050B">
      <w:pPr>
        <w:spacing w:line="480" w:lineRule="exact"/>
        <w:ind w:firstLine="420" w:firstLineChars="200"/>
        <w:rPr>
          <w:rFonts w:ascii="宋体" w:hAnsi="宋体" w:cs="宋体"/>
          <w:szCs w:val="21"/>
        </w:rPr>
      </w:pPr>
      <w:r>
        <w:rPr>
          <w:rFonts w:hint="eastAsia" w:ascii="宋体" w:hAnsi="宋体" w:cs="宋体"/>
          <w:szCs w:val="21"/>
        </w:rPr>
        <w:t>（1）提供的补偿接头应符合GB/T 12465-2007国家标准要求。</w:t>
      </w:r>
    </w:p>
    <w:p w14:paraId="668FC39A">
      <w:pPr>
        <w:spacing w:line="480" w:lineRule="exact"/>
        <w:ind w:firstLine="420" w:firstLineChars="200"/>
        <w:rPr>
          <w:rFonts w:ascii="宋体" w:hAnsi="宋体" w:cs="宋体"/>
          <w:szCs w:val="21"/>
        </w:rPr>
      </w:pPr>
      <w:r>
        <w:rPr>
          <w:rFonts w:hint="eastAsia" w:ascii="宋体" w:hAnsi="宋体" w:cs="宋体"/>
          <w:szCs w:val="21"/>
        </w:rPr>
        <w:t>补偿量：</w:t>
      </w:r>
    </w:p>
    <w:p w14:paraId="6EE9C223">
      <w:pPr>
        <w:spacing w:line="480" w:lineRule="exact"/>
        <w:ind w:firstLine="1155" w:firstLineChars="550"/>
        <w:rPr>
          <w:rFonts w:ascii="宋体" w:hAnsi="宋体" w:cs="宋体"/>
          <w:szCs w:val="21"/>
        </w:rPr>
      </w:pPr>
      <w:r>
        <w:rPr>
          <w:rFonts w:hint="eastAsia" w:ascii="宋体" w:hAnsi="宋体" w:cs="宋体"/>
          <w:szCs w:val="21"/>
        </w:rPr>
        <w:t>C2F型：DN65～250       40mm</w:t>
      </w:r>
    </w:p>
    <w:p w14:paraId="0606092E">
      <w:pPr>
        <w:spacing w:line="480" w:lineRule="exact"/>
        <w:ind w:firstLine="1995" w:firstLineChars="950"/>
        <w:rPr>
          <w:rFonts w:ascii="宋体" w:hAnsi="宋体" w:cs="宋体"/>
          <w:szCs w:val="21"/>
        </w:rPr>
      </w:pPr>
      <w:r>
        <w:rPr>
          <w:rFonts w:hint="eastAsia" w:ascii="宋体" w:hAnsi="宋体" w:cs="宋体"/>
          <w:szCs w:val="21"/>
        </w:rPr>
        <w:t>DN300</w:t>
      </w:r>
      <w:r>
        <w:rPr>
          <w:rFonts w:hint="eastAsia" w:ascii="宋体" w:hAnsi="宋体" w:cs="宋体"/>
          <w:szCs w:val="21"/>
          <w:lang w:eastAsia="zh-CN"/>
        </w:rPr>
        <w:t>~</w:t>
      </w:r>
      <w:r>
        <w:rPr>
          <w:rFonts w:hint="eastAsia" w:ascii="宋体" w:hAnsi="宋体" w:cs="宋体"/>
          <w:szCs w:val="21"/>
        </w:rPr>
        <w:t>700      50mm</w:t>
      </w:r>
    </w:p>
    <w:p w14:paraId="245DB04F">
      <w:pPr>
        <w:spacing w:line="480" w:lineRule="exact"/>
        <w:ind w:firstLine="1995" w:firstLineChars="950"/>
        <w:rPr>
          <w:rFonts w:ascii="宋体" w:hAnsi="宋体" w:cs="宋体"/>
          <w:szCs w:val="21"/>
        </w:rPr>
      </w:pPr>
      <w:r>
        <w:rPr>
          <w:rFonts w:hint="eastAsia" w:ascii="宋体" w:hAnsi="宋体" w:cs="宋体"/>
          <w:szCs w:val="21"/>
        </w:rPr>
        <w:t>DN800</w:t>
      </w:r>
      <w:r>
        <w:rPr>
          <w:rFonts w:hint="eastAsia" w:ascii="宋体" w:hAnsi="宋体" w:cs="宋体"/>
          <w:szCs w:val="21"/>
          <w:lang w:eastAsia="zh-CN"/>
        </w:rPr>
        <w:t>~</w:t>
      </w:r>
      <w:r>
        <w:rPr>
          <w:rFonts w:hint="eastAsia" w:ascii="宋体" w:hAnsi="宋体" w:cs="宋体"/>
          <w:szCs w:val="21"/>
        </w:rPr>
        <w:t>2400     60mm</w:t>
      </w:r>
    </w:p>
    <w:p w14:paraId="66EE7744">
      <w:pPr>
        <w:spacing w:line="480" w:lineRule="exact"/>
        <w:ind w:firstLine="1995" w:firstLineChars="950"/>
        <w:rPr>
          <w:rFonts w:ascii="宋体" w:hAnsi="宋体" w:cs="宋体"/>
          <w:szCs w:val="21"/>
        </w:rPr>
      </w:pPr>
      <w:r>
        <w:rPr>
          <w:rFonts w:hint="eastAsia" w:ascii="宋体" w:hAnsi="宋体" w:cs="宋体"/>
          <w:szCs w:val="21"/>
        </w:rPr>
        <w:t>DN2600</w:t>
      </w:r>
      <w:r>
        <w:rPr>
          <w:rFonts w:hint="eastAsia" w:ascii="宋体" w:hAnsi="宋体" w:cs="宋体"/>
          <w:szCs w:val="21"/>
          <w:lang w:eastAsia="zh-CN"/>
        </w:rPr>
        <w:t>~</w:t>
      </w:r>
      <w:r>
        <w:rPr>
          <w:rFonts w:hint="eastAsia" w:ascii="宋体" w:hAnsi="宋体" w:cs="宋体"/>
          <w:szCs w:val="21"/>
        </w:rPr>
        <w:t>3200    80mm</w:t>
      </w:r>
    </w:p>
    <w:p w14:paraId="444802F9">
      <w:pPr>
        <w:spacing w:line="480" w:lineRule="exact"/>
        <w:ind w:firstLine="420" w:firstLineChars="200"/>
        <w:rPr>
          <w:rFonts w:ascii="宋体" w:hAnsi="宋体" w:cs="宋体"/>
          <w:szCs w:val="21"/>
        </w:rPr>
      </w:pPr>
      <w:r>
        <w:rPr>
          <w:rFonts w:hint="eastAsia" w:ascii="宋体" w:hAnsi="宋体" w:cs="宋体"/>
          <w:szCs w:val="21"/>
        </w:rPr>
        <w:t>（2）严格执行GB/T 12465-2007《管路补偿接头》。伸缩节的密封性试验、强度试验、可挠量试验、偏心量试验按GB/T 12465-2007 的规定执行。要求法兰接头与管道相连的地方，应满足管道可在5（±3）度变化范围内使用而不发生泄漏。每种规格尺寸的柔性接头能够承受与其相连接管道4m长度充满水后管道总重的剪切力。传力伸缩接头设传力限位结构，使管道与连接设备成为一个整体，并有一定位移量，便于管道与设备的拆装，能承受管道由于工作压力和水锤压力引起的张力，可以把轴向推力传递至整个管道，对连接设备起到一定的保护作用。提供的法兰式传力接头能够与相同公称直径的阀门等设备直接连接，并提供足够尺寸和数量的螺栓螺母（包括垫圈、垫片）。</w:t>
      </w:r>
    </w:p>
    <w:p w14:paraId="3CFDC101">
      <w:pPr>
        <w:spacing w:line="480" w:lineRule="exact"/>
        <w:ind w:firstLine="420" w:firstLineChars="200"/>
        <w:rPr>
          <w:rFonts w:ascii="宋体" w:hAnsi="宋体" w:cs="宋体"/>
          <w:szCs w:val="21"/>
        </w:rPr>
      </w:pPr>
      <w:r>
        <w:rPr>
          <w:rFonts w:hint="eastAsia" w:ascii="宋体" w:hAnsi="宋体" w:cs="宋体"/>
          <w:szCs w:val="21"/>
        </w:rPr>
        <w:t>（3）密封圈必须保证在管路竖向挠曲和偏心下密封可靠、不会漏水。</w:t>
      </w:r>
    </w:p>
    <w:p w14:paraId="623AF6C1">
      <w:pPr>
        <w:spacing w:line="480" w:lineRule="exact"/>
        <w:ind w:firstLine="420" w:firstLineChars="200"/>
        <w:rPr>
          <w:rFonts w:ascii="宋体" w:hAnsi="宋体" w:cs="宋体"/>
          <w:szCs w:val="21"/>
        </w:rPr>
      </w:pPr>
      <w:r>
        <w:rPr>
          <w:rFonts w:hint="eastAsia" w:ascii="宋体" w:hAnsi="宋体" w:cs="宋体"/>
          <w:szCs w:val="21"/>
        </w:rPr>
        <w:t>2.5.4  材料要求</w:t>
      </w:r>
    </w:p>
    <w:p w14:paraId="104AB32D">
      <w:pPr>
        <w:spacing w:line="480" w:lineRule="exact"/>
        <w:ind w:firstLine="480"/>
        <w:rPr>
          <w:rFonts w:ascii="宋体" w:hAnsi="宋体" w:cs="宋体"/>
          <w:szCs w:val="21"/>
        </w:rPr>
      </w:pPr>
      <w:r>
        <w:rPr>
          <w:rFonts w:hint="eastAsia" w:ascii="宋体" w:hAnsi="宋体" w:cs="宋体"/>
          <w:szCs w:val="21"/>
        </w:rPr>
        <w:t>伸缩节由本体、密封圈、压盖、法兰体、连接短管、螺栓螺母等组成。其主要部件材质为：</w:t>
      </w:r>
    </w:p>
    <w:p w14:paraId="6DD83519">
      <w:pPr>
        <w:spacing w:line="480" w:lineRule="exact"/>
        <w:ind w:firstLine="420" w:firstLineChars="200"/>
        <w:rPr>
          <w:rFonts w:ascii="宋体" w:hAnsi="宋体" w:cs="宋体"/>
          <w:szCs w:val="21"/>
        </w:rPr>
      </w:pPr>
      <w:r>
        <w:rPr>
          <w:rFonts w:hint="eastAsia" w:ascii="宋体" w:hAnsi="宋体" w:cs="宋体"/>
          <w:szCs w:val="21"/>
        </w:rPr>
        <w:t>（1）本体、压盖：球墨铸铁QT400-15。</w:t>
      </w:r>
    </w:p>
    <w:p w14:paraId="4F38A228">
      <w:pPr>
        <w:spacing w:line="480" w:lineRule="exact"/>
        <w:ind w:firstLine="420" w:firstLineChars="200"/>
        <w:rPr>
          <w:rFonts w:ascii="宋体" w:hAnsi="宋体" w:cs="宋体"/>
          <w:szCs w:val="21"/>
        </w:rPr>
      </w:pPr>
      <w:r>
        <w:rPr>
          <w:rFonts w:hint="eastAsia" w:ascii="宋体" w:hAnsi="宋体" w:cs="宋体"/>
          <w:szCs w:val="21"/>
        </w:rPr>
        <w:t>（2）限位短管：普通碳钢Q235B。</w:t>
      </w:r>
    </w:p>
    <w:p w14:paraId="1D38505F">
      <w:pPr>
        <w:spacing w:line="480" w:lineRule="exact"/>
        <w:ind w:firstLine="420" w:firstLineChars="200"/>
        <w:rPr>
          <w:rFonts w:ascii="宋体" w:hAnsi="宋体" w:cs="宋体"/>
          <w:szCs w:val="21"/>
        </w:rPr>
      </w:pPr>
      <w:r>
        <w:rPr>
          <w:rFonts w:hint="eastAsia" w:ascii="宋体" w:hAnsi="宋体" w:cs="宋体"/>
          <w:szCs w:val="21"/>
        </w:rPr>
        <w:t>（3）密封圈：丁腈橡胶GPL70。</w:t>
      </w:r>
    </w:p>
    <w:p w14:paraId="76234E3E">
      <w:pPr>
        <w:spacing w:line="480" w:lineRule="exact"/>
        <w:ind w:firstLine="420" w:firstLineChars="200"/>
        <w:rPr>
          <w:rFonts w:ascii="宋体" w:hAnsi="宋体" w:cs="宋体"/>
          <w:szCs w:val="21"/>
        </w:rPr>
      </w:pPr>
      <w:r>
        <w:rPr>
          <w:rFonts w:hint="eastAsia" w:ascii="宋体" w:hAnsi="宋体" w:cs="宋体"/>
          <w:szCs w:val="21"/>
        </w:rPr>
        <w:t>（4）螺栓、螺母：普通碳钢Q235B，全部热浸镀锌。</w:t>
      </w:r>
    </w:p>
    <w:p w14:paraId="66E5EA03">
      <w:pPr>
        <w:spacing w:line="480" w:lineRule="exact"/>
        <w:ind w:firstLine="420" w:firstLineChars="200"/>
        <w:rPr>
          <w:rFonts w:ascii="宋体" w:hAnsi="宋体" w:cs="宋体"/>
          <w:szCs w:val="21"/>
        </w:rPr>
      </w:pPr>
      <w:r>
        <w:rPr>
          <w:rFonts w:hint="eastAsia" w:ascii="宋体" w:hAnsi="宋体" w:cs="宋体"/>
          <w:szCs w:val="21"/>
        </w:rPr>
        <w:t>2.5.5  制作公差及油漆要求</w:t>
      </w:r>
    </w:p>
    <w:p w14:paraId="46B90EC2">
      <w:pPr>
        <w:spacing w:line="480" w:lineRule="exact"/>
        <w:ind w:firstLine="420" w:firstLineChars="200"/>
        <w:rPr>
          <w:rFonts w:ascii="宋体" w:hAnsi="宋体" w:cs="宋体"/>
          <w:szCs w:val="21"/>
        </w:rPr>
      </w:pPr>
      <w:r>
        <w:rPr>
          <w:rFonts w:hint="eastAsia" w:ascii="宋体" w:hAnsi="宋体" w:cs="宋体"/>
          <w:szCs w:val="21"/>
        </w:rPr>
        <w:t>（1）设备零件应采用公制，其制作公差符合国际和国家标准，相同部件具有互换性，外观无缺陷，密封性能符合要求。</w:t>
      </w:r>
    </w:p>
    <w:p w14:paraId="4A8EBCF8">
      <w:pPr>
        <w:spacing w:line="480" w:lineRule="exact"/>
        <w:ind w:firstLine="420" w:firstLineChars="200"/>
        <w:rPr>
          <w:rFonts w:ascii="宋体" w:hAnsi="宋体" w:cs="宋体"/>
          <w:szCs w:val="21"/>
        </w:rPr>
      </w:pPr>
      <w:r>
        <w:rPr>
          <w:rFonts w:hint="eastAsia" w:ascii="宋体" w:hAnsi="宋体" w:cs="宋体"/>
          <w:szCs w:val="21"/>
        </w:rPr>
        <w:t>（2）伸缩节内、外防腐均采用环氧涂料，涂层厚度不大于0.3，但不小于0.2。涂装以前必须按SIS055900标准进行喷砂除锈，除锈等级应达Sa2.5，当设备安装后由于各种原因需要再次喷涂时，承包人必须按发包人要求完成现场防腐。</w:t>
      </w:r>
    </w:p>
    <w:p w14:paraId="248FF404">
      <w:pPr>
        <w:spacing w:line="480" w:lineRule="exact"/>
        <w:ind w:firstLine="420" w:firstLineChars="200"/>
        <w:rPr>
          <w:rFonts w:ascii="宋体" w:hAnsi="宋体" w:cs="宋体"/>
          <w:szCs w:val="21"/>
        </w:rPr>
      </w:pPr>
      <w:r>
        <w:rPr>
          <w:rFonts w:hint="eastAsia" w:ascii="宋体" w:hAnsi="宋体" w:cs="宋体"/>
          <w:szCs w:val="21"/>
        </w:rPr>
        <w:t>2.5.6  制造检验标准</w:t>
      </w:r>
    </w:p>
    <w:p w14:paraId="5AB0DD51">
      <w:pPr>
        <w:spacing w:line="480" w:lineRule="exact"/>
        <w:ind w:firstLine="420" w:firstLineChars="200"/>
        <w:rPr>
          <w:rFonts w:ascii="宋体" w:hAnsi="宋体" w:cs="宋体"/>
          <w:szCs w:val="21"/>
        </w:rPr>
      </w:pPr>
      <w:r>
        <w:rPr>
          <w:rFonts w:hint="eastAsia" w:ascii="宋体" w:hAnsi="宋体" w:cs="宋体"/>
          <w:szCs w:val="21"/>
        </w:rPr>
        <w:t>接头的设计、制造和验收应严格按GB/T 12465-2007国家标准进行；铸件应严格按GB/T 12227-2005国家标准进行。所有接头在发货前必须进行工厂检查和试验。保证条款的承诺应在工厂进行的试验中得到证实并提供相关报告。</w:t>
      </w:r>
    </w:p>
    <w:p w14:paraId="72D352A5">
      <w:pPr>
        <w:spacing w:line="480" w:lineRule="exact"/>
        <w:ind w:firstLine="420" w:firstLineChars="200"/>
        <w:rPr>
          <w:rFonts w:ascii="宋体" w:hAnsi="宋体" w:cs="宋体"/>
          <w:szCs w:val="21"/>
        </w:rPr>
      </w:pPr>
      <w:r>
        <w:rPr>
          <w:rFonts w:hint="eastAsia" w:ascii="宋体" w:hAnsi="宋体" w:cs="宋体"/>
          <w:szCs w:val="21"/>
        </w:rPr>
        <w:t>2.6  设备的检验与试验</w:t>
      </w:r>
    </w:p>
    <w:p w14:paraId="7199CEF7">
      <w:pPr>
        <w:spacing w:line="480" w:lineRule="exact"/>
        <w:ind w:firstLine="420" w:firstLineChars="200"/>
        <w:rPr>
          <w:rFonts w:ascii="宋体" w:hAnsi="宋体" w:cs="宋体"/>
          <w:szCs w:val="21"/>
        </w:rPr>
      </w:pPr>
      <w:r>
        <w:rPr>
          <w:rFonts w:hint="eastAsia" w:ascii="宋体" w:hAnsi="宋体" w:cs="宋体"/>
          <w:szCs w:val="21"/>
        </w:rPr>
        <w:t>2.6.1  概述</w:t>
      </w:r>
    </w:p>
    <w:p w14:paraId="7CB16698">
      <w:pPr>
        <w:spacing w:line="480" w:lineRule="exact"/>
        <w:ind w:firstLine="420" w:firstLineChars="200"/>
        <w:rPr>
          <w:rFonts w:ascii="宋体" w:hAnsi="宋体" w:cs="宋体"/>
          <w:szCs w:val="21"/>
        </w:rPr>
      </w:pPr>
      <w:r>
        <w:rPr>
          <w:rFonts w:hint="eastAsia" w:ascii="宋体" w:hAnsi="宋体" w:cs="宋体"/>
          <w:szCs w:val="21"/>
        </w:rPr>
        <w:t>（1）所有铸件、锻件、板材等材料的机械性能和化学性能，承包人都应按有关的技术条款和标准进行检查验收。</w:t>
      </w:r>
    </w:p>
    <w:p w14:paraId="56DD48D9">
      <w:pPr>
        <w:spacing w:line="480" w:lineRule="exact"/>
        <w:ind w:firstLine="420" w:firstLineChars="200"/>
        <w:rPr>
          <w:rFonts w:ascii="宋体" w:hAnsi="宋体" w:cs="宋体"/>
          <w:szCs w:val="21"/>
        </w:rPr>
      </w:pPr>
      <w:r>
        <w:rPr>
          <w:rFonts w:hint="eastAsia" w:ascii="宋体" w:hAnsi="宋体" w:cs="宋体"/>
          <w:szCs w:val="21"/>
        </w:rPr>
        <w:t>（2）承包人对所有部件采用的材料和所有协作件、外购件、标准件的质量负完全责任。</w:t>
      </w:r>
    </w:p>
    <w:p w14:paraId="704C02A2">
      <w:pPr>
        <w:spacing w:line="480" w:lineRule="exact"/>
        <w:ind w:firstLine="420" w:firstLineChars="200"/>
        <w:rPr>
          <w:rFonts w:ascii="宋体" w:hAnsi="宋体" w:cs="宋体"/>
          <w:szCs w:val="21"/>
        </w:rPr>
      </w:pPr>
      <w:r>
        <w:rPr>
          <w:rFonts w:hint="eastAsia" w:ascii="宋体" w:hAnsi="宋体" w:cs="宋体"/>
          <w:szCs w:val="21"/>
        </w:rPr>
        <w:t>（3）工厂的所有装配和检验均有记录存档，并由监理人签发合格证。</w:t>
      </w:r>
    </w:p>
    <w:p w14:paraId="1CB7F46B">
      <w:pPr>
        <w:spacing w:line="480" w:lineRule="exact"/>
        <w:ind w:firstLine="420" w:firstLineChars="200"/>
        <w:rPr>
          <w:rFonts w:ascii="宋体" w:hAnsi="宋体" w:cs="宋体"/>
          <w:szCs w:val="21"/>
        </w:rPr>
      </w:pPr>
      <w:r>
        <w:rPr>
          <w:rFonts w:hint="eastAsia" w:ascii="宋体" w:hAnsi="宋体" w:cs="宋体"/>
          <w:szCs w:val="21"/>
        </w:rPr>
        <w:t>2.6.2  工厂主要检验项目</w:t>
      </w:r>
    </w:p>
    <w:p w14:paraId="66346BA7">
      <w:pPr>
        <w:spacing w:line="480" w:lineRule="exact"/>
        <w:ind w:firstLine="420" w:firstLineChars="200"/>
        <w:rPr>
          <w:rFonts w:ascii="宋体" w:hAnsi="宋体" w:cs="宋体"/>
          <w:szCs w:val="21"/>
        </w:rPr>
      </w:pPr>
      <w:r>
        <w:rPr>
          <w:rFonts w:hint="eastAsia" w:ascii="宋体" w:hAnsi="宋体" w:cs="宋体"/>
          <w:szCs w:val="21"/>
        </w:rPr>
        <w:t>（1）零部件的几何尺寸、形状与位置公差、表面粗糙度检查。</w:t>
      </w:r>
    </w:p>
    <w:p w14:paraId="7ED6885B">
      <w:pPr>
        <w:spacing w:line="480" w:lineRule="exact"/>
        <w:ind w:firstLine="420" w:firstLineChars="200"/>
        <w:rPr>
          <w:rFonts w:ascii="宋体" w:hAnsi="宋体" w:cs="宋体"/>
          <w:szCs w:val="21"/>
        </w:rPr>
      </w:pPr>
      <w:r>
        <w:rPr>
          <w:rFonts w:hint="eastAsia" w:ascii="宋体" w:hAnsi="宋体" w:cs="宋体"/>
          <w:szCs w:val="21"/>
        </w:rPr>
        <w:t>（2）阀轴、阀体的无损探伤检查。</w:t>
      </w:r>
    </w:p>
    <w:p w14:paraId="75184AD1">
      <w:pPr>
        <w:spacing w:line="480" w:lineRule="exact"/>
        <w:ind w:firstLine="420" w:firstLineChars="200"/>
        <w:rPr>
          <w:rFonts w:ascii="宋体" w:hAnsi="宋体" w:cs="宋体"/>
          <w:szCs w:val="21"/>
        </w:rPr>
      </w:pPr>
      <w:r>
        <w:rPr>
          <w:rFonts w:hint="eastAsia" w:ascii="宋体" w:hAnsi="宋体" w:cs="宋体"/>
          <w:szCs w:val="21"/>
        </w:rPr>
        <w:t>（3）阀体与阀轴的装配检查。</w:t>
      </w:r>
    </w:p>
    <w:p w14:paraId="1178CB52">
      <w:pPr>
        <w:spacing w:line="480" w:lineRule="exact"/>
        <w:ind w:firstLine="420" w:firstLineChars="200"/>
        <w:rPr>
          <w:rFonts w:ascii="宋体" w:hAnsi="宋体" w:cs="宋体"/>
          <w:szCs w:val="21"/>
        </w:rPr>
      </w:pPr>
      <w:r>
        <w:rPr>
          <w:rFonts w:hint="eastAsia" w:ascii="宋体" w:hAnsi="宋体" w:cs="宋体"/>
          <w:szCs w:val="21"/>
        </w:rPr>
        <w:t>（4）轴承的装配检查。</w:t>
      </w:r>
    </w:p>
    <w:p w14:paraId="0BDB0FB3">
      <w:pPr>
        <w:spacing w:line="480" w:lineRule="exact"/>
        <w:ind w:firstLine="420" w:firstLineChars="200"/>
        <w:rPr>
          <w:rFonts w:ascii="宋体" w:hAnsi="宋体" w:cs="宋体"/>
          <w:szCs w:val="21"/>
        </w:rPr>
      </w:pPr>
      <w:r>
        <w:rPr>
          <w:rFonts w:hint="eastAsia" w:ascii="宋体" w:hAnsi="宋体" w:cs="宋体"/>
          <w:szCs w:val="21"/>
        </w:rPr>
        <w:t>（5）</w:t>
      </w:r>
      <w:r>
        <w:rPr>
          <w:rFonts w:hint="eastAsia" w:ascii="宋体" w:hAnsi="宋体" w:cs="宋体"/>
          <w:szCs w:val="21"/>
          <w:lang w:eastAsia="zh-CN"/>
        </w:rPr>
        <w:t>其他主要</w:t>
      </w:r>
      <w:r>
        <w:rPr>
          <w:rFonts w:hint="eastAsia" w:ascii="宋体" w:hAnsi="宋体" w:cs="宋体"/>
          <w:szCs w:val="21"/>
        </w:rPr>
        <w:t>部件的装配检查。</w:t>
      </w:r>
    </w:p>
    <w:p w14:paraId="5E1CC0F9">
      <w:pPr>
        <w:spacing w:line="480" w:lineRule="exact"/>
        <w:ind w:firstLine="420" w:firstLineChars="200"/>
        <w:rPr>
          <w:rFonts w:ascii="宋体" w:hAnsi="宋体" w:cs="宋体"/>
          <w:szCs w:val="21"/>
        </w:rPr>
      </w:pPr>
      <w:r>
        <w:rPr>
          <w:rFonts w:hint="eastAsia" w:ascii="宋体" w:hAnsi="宋体" w:cs="宋体"/>
          <w:szCs w:val="21"/>
        </w:rPr>
        <w:t>（6）总的预装配。</w:t>
      </w:r>
    </w:p>
    <w:p w14:paraId="125BBC47">
      <w:pPr>
        <w:spacing w:line="480" w:lineRule="exact"/>
        <w:ind w:firstLine="420" w:firstLineChars="200"/>
        <w:rPr>
          <w:rFonts w:ascii="宋体" w:hAnsi="宋体" w:cs="宋体"/>
          <w:szCs w:val="21"/>
        </w:rPr>
      </w:pPr>
      <w:r>
        <w:rPr>
          <w:rFonts w:hint="eastAsia" w:ascii="宋体" w:hAnsi="宋体" w:cs="宋体"/>
          <w:szCs w:val="21"/>
        </w:rPr>
        <w:t>（7）各铸件的无损探伤检查。</w:t>
      </w:r>
    </w:p>
    <w:p w14:paraId="5F2C6881">
      <w:pPr>
        <w:spacing w:line="480" w:lineRule="exact"/>
        <w:ind w:firstLine="420" w:firstLineChars="200"/>
        <w:rPr>
          <w:rFonts w:ascii="宋体" w:hAnsi="宋体" w:cs="宋体"/>
          <w:szCs w:val="21"/>
        </w:rPr>
      </w:pPr>
      <w:r>
        <w:rPr>
          <w:rFonts w:hint="eastAsia" w:ascii="宋体" w:hAnsi="宋体" w:cs="宋体"/>
          <w:szCs w:val="21"/>
        </w:rPr>
        <w:t>（8）各焊接的焊缝探伤检查。</w:t>
      </w:r>
    </w:p>
    <w:p w14:paraId="3607C821">
      <w:pPr>
        <w:spacing w:line="480" w:lineRule="exact"/>
        <w:ind w:firstLine="482"/>
        <w:rPr>
          <w:rFonts w:ascii="宋体" w:hAnsi="宋体" w:cs="宋体"/>
          <w:szCs w:val="21"/>
        </w:rPr>
      </w:pPr>
      <w:r>
        <w:rPr>
          <w:rFonts w:hint="eastAsia" w:ascii="宋体" w:hAnsi="宋体" w:cs="宋体"/>
          <w:szCs w:val="21"/>
        </w:rPr>
        <w:t>2.6.3  承包人组织召开联络会及提供的图纸和资料</w:t>
      </w:r>
    </w:p>
    <w:p w14:paraId="1B77F388">
      <w:pPr>
        <w:adjustRightInd w:val="0"/>
        <w:snapToGrid w:val="0"/>
        <w:spacing w:line="500" w:lineRule="exact"/>
        <w:ind w:firstLine="420" w:firstLineChars="200"/>
        <w:rPr>
          <w:rFonts w:ascii="宋体" w:hAnsi="宋体" w:cs="宋体"/>
          <w:szCs w:val="21"/>
        </w:rPr>
      </w:pPr>
      <w:r>
        <w:rPr>
          <w:rFonts w:hint="eastAsia" w:ascii="宋体" w:hAnsi="宋体" w:cs="宋体"/>
          <w:szCs w:val="21"/>
        </w:rPr>
        <w:t>承包人应组织设计单位和业主单位召开</w:t>
      </w:r>
      <w:r>
        <w:rPr>
          <w:rFonts w:hint="eastAsia" w:ascii="宋体" w:hAnsi="宋体" w:cs="宋体"/>
          <w:b/>
          <w:szCs w:val="21"/>
        </w:rPr>
        <w:t>设计联络会</w:t>
      </w:r>
      <w:r>
        <w:rPr>
          <w:rFonts w:hint="eastAsia" w:ascii="宋体" w:hAnsi="宋体" w:cs="宋体"/>
          <w:szCs w:val="21"/>
        </w:rPr>
        <w:t>，会议时间和会议地点另定。会议在买方所在地举行时，所需的准备、组织和会务费用由买方负担。联络会议的总费用【包括设计单位和业主单位参加在卖方工厂召开会议的双程机票、现场办公和生活（即食宿、交通等）、人身安全保险等费用】包括在合同总价中。</w:t>
      </w:r>
    </w:p>
    <w:p w14:paraId="3E8C9272">
      <w:pPr>
        <w:spacing w:line="480" w:lineRule="exact"/>
        <w:ind w:firstLine="482"/>
        <w:rPr>
          <w:rFonts w:ascii="宋体" w:hAnsi="宋体" w:cs="宋体"/>
          <w:szCs w:val="21"/>
        </w:rPr>
      </w:pPr>
      <w:r>
        <w:rPr>
          <w:rFonts w:hint="eastAsia" w:ascii="宋体" w:hAnsi="宋体" w:cs="宋体"/>
          <w:szCs w:val="21"/>
        </w:rPr>
        <w:t>联络会时对阀门及配套设备的设计总装配图和大的零部件图及使用的材质进行联合审查，有异议及时提出修改。承包人应提供图纸和文件及交图时间见下表：</w:t>
      </w:r>
    </w:p>
    <w:p w14:paraId="12B9C330">
      <w:pPr>
        <w:spacing w:line="480" w:lineRule="exact"/>
        <w:ind w:firstLine="482"/>
        <w:rPr>
          <w:rFonts w:ascii="宋体" w:hAnsi="宋体" w:cs="宋体"/>
          <w:szCs w:val="21"/>
        </w:rPr>
      </w:pPr>
    </w:p>
    <w:tbl>
      <w:tblPr>
        <w:tblStyle w:val="31"/>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6062"/>
        <w:gridCol w:w="1606"/>
      </w:tblGrid>
      <w:tr w14:paraId="12B5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720" w:type="dxa"/>
            <w:vAlign w:val="center"/>
          </w:tcPr>
          <w:p w14:paraId="1C52829C">
            <w:pPr>
              <w:spacing w:line="240" w:lineRule="exact"/>
              <w:jc w:val="center"/>
              <w:rPr>
                <w:rFonts w:ascii="宋体" w:hAnsi="宋体" w:cs="宋体"/>
                <w:szCs w:val="21"/>
              </w:rPr>
            </w:pPr>
            <w:r>
              <w:rPr>
                <w:rFonts w:hint="eastAsia" w:ascii="宋体" w:hAnsi="宋体" w:cs="宋体"/>
                <w:szCs w:val="21"/>
              </w:rPr>
              <w:t>序号</w:t>
            </w:r>
          </w:p>
        </w:tc>
        <w:tc>
          <w:tcPr>
            <w:tcW w:w="6062" w:type="dxa"/>
            <w:vAlign w:val="center"/>
          </w:tcPr>
          <w:p w14:paraId="0F8BBE8D">
            <w:pPr>
              <w:spacing w:line="240" w:lineRule="exact"/>
              <w:jc w:val="center"/>
              <w:rPr>
                <w:rFonts w:ascii="宋体" w:hAnsi="宋体" w:cs="宋体"/>
                <w:szCs w:val="21"/>
              </w:rPr>
            </w:pPr>
            <w:r>
              <w:rPr>
                <w:rFonts w:hint="eastAsia" w:ascii="宋体" w:hAnsi="宋体" w:cs="宋体"/>
                <w:szCs w:val="21"/>
              </w:rPr>
              <w:t>项        目</w:t>
            </w:r>
          </w:p>
        </w:tc>
        <w:tc>
          <w:tcPr>
            <w:tcW w:w="1606" w:type="dxa"/>
            <w:vAlign w:val="center"/>
          </w:tcPr>
          <w:p w14:paraId="6A347769">
            <w:pPr>
              <w:spacing w:line="320" w:lineRule="exact"/>
              <w:ind w:left="-105" w:leftChars="-50" w:right="-105" w:rightChars="-50"/>
              <w:jc w:val="center"/>
              <w:rPr>
                <w:rFonts w:ascii="宋体" w:hAnsi="宋体" w:cs="宋体"/>
                <w:szCs w:val="21"/>
              </w:rPr>
            </w:pPr>
            <w:r>
              <w:rPr>
                <w:rFonts w:hint="eastAsia" w:ascii="宋体" w:hAnsi="宋体" w:cs="宋体"/>
                <w:szCs w:val="21"/>
              </w:rPr>
              <w:t>交图时间要求</w:t>
            </w:r>
          </w:p>
          <w:p w14:paraId="5807981D">
            <w:pPr>
              <w:spacing w:line="320" w:lineRule="exact"/>
              <w:ind w:left="-105" w:leftChars="-50" w:right="-105" w:rightChars="-50"/>
              <w:jc w:val="center"/>
              <w:rPr>
                <w:rFonts w:ascii="宋体" w:hAnsi="宋体" w:cs="宋体"/>
                <w:szCs w:val="21"/>
              </w:rPr>
            </w:pPr>
            <w:r>
              <w:rPr>
                <w:rFonts w:hint="eastAsia" w:ascii="宋体" w:hAnsi="宋体" w:cs="宋体"/>
                <w:szCs w:val="21"/>
              </w:rPr>
              <w:t>（合同生效后）</w:t>
            </w:r>
          </w:p>
        </w:tc>
      </w:tr>
      <w:tr w14:paraId="26C9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20" w:type="dxa"/>
            <w:vAlign w:val="center"/>
          </w:tcPr>
          <w:p w14:paraId="5F715DDB">
            <w:pPr>
              <w:spacing w:line="240" w:lineRule="exact"/>
              <w:jc w:val="center"/>
              <w:rPr>
                <w:rFonts w:ascii="宋体" w:hAnsi="宋体" w:cs="宋体"/>
                <w:szCs w:val="21"/>
              </w:rPr>
            </w:pPr>
            <w:r>
              <w:rPr>
                <w:rFonts w:hint="eastAsia" w:ascii="宋体" w:hAnsi="宋体" w:cs="宋体"/>
                <w:szCs w:val="21"/>
              </w:rPr>
              <w:t>1</w:t>
            </w:r>
          </w:p>
        </w:tc>
        <w:tc>
          <w:tcPr>
            <w:tcW w:w="6062" w:type="dxa"/>
            <w:vAlign w:val="center"/>
          </w:tcPr>
          <w:p w14:paraId="78FBF154">
            <w:pPr>
              <w:spacing w:line="240" w:lineRule="exact"/>
              <w:rPr>
                <w:rFonts w:ascii="宋体" w:hAnsi="宋体" w:cs="宋体"/>
                <w:szCs w:val="21"/>
              </w:rPr>
            </w:pPr>
            <w:r>
              <w:rPr>
                <w:rFonts w:hint="eastAsia" w:ascii="宋体" w:hAnsi="宋体" w:cs="宋体"/>
                <w:szCs w:val="21"/>
              </w:rPr>
              <w:t>设备安装布置图</w:t>
            </w:r>
          </w:p>
        </w:tc>
        <w:tc>
          <w:tcPr>
            <w:tcW w:w="1606" w:type="dxa"/>
            <w:vAlign w:val="center"/>
          </w:tcPr>
          <w:p w14:paraId="7097C5D6">
            <w:pPr>
              <w:spacing w:line="240" w:lineRule="exact"/>
              <w:jc w:val="center"/>
              <w:rPr>
                <w:rFonts w:ascii="宋体" w:hAnsi="宋体" w:cs="宋体"/>
                <w:szCs w:val="21"/>
              </w:rPr>
            </w:pPr>
            <w:r>
              <w:rPr>
                <w:rFonts w:hint="eastAsia" w:ascii="宋体" w:hAnsi="宋体" w:cs="宋体"/>
                <w:szCs w:val="21"/>
              </w:rPr>
              <w:t>10天</w:t>
            </w:r>
          </w:p>
        </w:tc>
      </w:tr>
      <w:tr w14:paraId="000A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20" w:type="dxa"/>
            <w:vAlign w:val="center"/>
          </w:tcPr>
          <w:p w14:paraId="5A38EB37">
            <w:pPr>
              <w:spacing w:line="240" w:lineRule="exact"/>
              <w:jc w:val="center"/>
              <w:rPr>
                <w:rFonts w:ascii="宋体" w:hAnsi="宋体" w:cs="宋体"/>
                <w:szCs w:val="21"/>
              </w:rPr>
            </w:pPr>
            <w:r>
              <w:rPr>
                <w:rFonts w:hint="eastAsia" w:ascii="宋体" w:hAnsi="宋体" w:cs="宋体"/>
                <w:szCs w:val="21"/>
              </w:rPr>
              <w:t>2</w:t>
            </w:r>
          </w:p>
        </w:tc>
        <w:tc>
          <w:tcPr>
            <w:tcW w:w="6062" w:type="dxa"/>
            <w:vAlign w:val="center"/>
          </w:tcPr>
          <w:p w14:paraId="7213E10A">
            <w:pPr>
              <w:spacing w:line="240" w:lineRule="exact"/>
              <w:rPr>
                <w:rFonts w:ascii="宋体" w:hAnsi="宋体" w:cs="宋体"/>
                <w:szCs w:val="21"/>
              </w:rPr>
            </w:pPr>
            <w:r>
              <w:rPr>
                <w:rFonts w:hint="eastAsia" w:ascii="宋体" w:hAnsi="宋体" w:cs="宋体"/>
                <w:szCs w:val="21"/>
              </w:rPr>
              <w:t>设备总装图（包括外形尺寸、材料、分件重和总重）</w:t>
            </w:r>
          </w:p>
        </w:tc>
        <w:tc>
          <w:tcPr>
            <w:tcW w:w="1606" w:type="dxa"/>
            <w:vAlign w:val="center"/>
          </w:tcPr>
          <w:p w14:paraId="205E5A03">
            <w:pPr>
              <w:spacing w:line="240" w:lineRule="exact"/>
              <w:jc w:val="center"/>
              <w:rPr>
                <w:rFonts w:ascii="宋体" w:hAnsi="宋体" w:cs="宋体"/>
                <w:szCs w:val="21"/>
              </w:rPr>
            </w:pPr>
            <w:r>
              <w:rPr>
                <w:rFonts w:hint="eastAsia" w:ascii="宋体" w:hAnsi="宋体" w:cs="宋体"/>
                <w:szCs w:val="21"/>
              </w:rPr>
              <w:t>10天</w:t>
            </w:r>
          </w:p>
        </w:tc>
      </w:tr>
      <w:tr w14:paraId="4CEC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20" w:type="dxa"/>
            <w:vAlign w:val="center"/>
          </w:tcPr>
          <w:p w14:paraId="166D6FFF">
            <w:pPr>
              <w:spacing w:line="240" w:lineRule="exact"/>
              <w:jc w:val="center"/>
              <w:rPr>
                <w:rFonts w:ascii="宋体" w:hAnsi="宋体" w:cs="宋体"/>
                <w:szCs w:val="21"/>
              </w:rPr>
            </w:pPr>
            <w:r>
              <w:rPr>
                <w:rFonts w:hint="eastAsia" w:ascii="宋体" w:hAnsi="宋体" w:cs="宋体"/>
                <w:szCs w:val="21"/>
              </w:rPr>
              <w:t>3</w:t>
            </w:r>
          </w:p>
        </w:tc>
        <w:tc>
          <w:tcPr>
            <w:tcW w:w="6062" w:type="dxa"/>
            <w:vAlign w:val="center"/>
          </w:tcPr>
          <w:p w14:paraId="06BBD7C1">
            <w:pPr>
              <w:spacing w:line="240" w:lineRule="exact"/>
              <w:rPr>
                <w:rFonts w:ascii="宋体" w:hAnsi="宋体" w:cs="宋体"/>
                <w:szCs w:val="21"/>
              </w:rPr>
            </w:pPr>
            <w:r>
              <w:rPr>
                <w:rFonts w:hint="eastAsia" w:ascii="宋体" w:hAnsi="宋体" w:cs="宋体"/>
                <w:szCs w:val="21"/>
              </w:rPr>
              <w:t>提供各部件的重量，说明力的大小、方向及示意图</w:t>
            </w:r>
          </w:p>
        </w:tc>
        <w:tc>
          <w:tcPr>
            <w:tcW w:w="1606" w:type="dxa"/>
            <w:vAlign w:val="center"/>
          </w:tcPr>
          <w:p w14:paraId="2687757D">
            <w:pPr>
              <w:spacing w:line="240" w:lineRule="exact"/>
              <w:jc w:val="center"/>
              <w:rPr>
                <w:rFonts w:ascii="宋体" w:hAnsi="宋体" w:cs="宋体"/>
                <w:szCs w:val="21"/>
              </w:rPr>
            </w:pPr>
            <w:r>
              <w:rPr>
                <w:rFonts w:hint="eastAsia" w:ascii="宋体" w:hAnsi="宋体" w:cs="宋体"/>
                <w:szCs w:val="21"/>
              </w:rPr>
              <w:t>10天</w:t>
            </w:r>
          </w:p>
        </w:tc>
      </w:tr>
      <w:tr w14:paraId="039C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20" w:type="dxa"/>
            <w:vAlign w:val="center"/>
          </w:tcPr>
          <w:p w14:paraId="0A03F361">
            <w:pPr>
              <w:spacing w:line="240" w:lineRule="exact"/>
              <w:jc w:val="center"/>
              <w:rPr>
                <w:rFonts w:ascii="宋体" w:hAnsi="宋体" w:cs="宋体"/>
                <w:szCs w:val="21"/>
              </w:rPr>
            </w:pPr>
            <w:r>
              <w:rPr>
                <w:rFonts w:hint="eastAsia" w:ascii="宋体" w:hAnsi="宋体" w:cs="宋体"/>
                <w:szCs w:val="21"/>
              </w:rPr>
              <w:t>4</w:t>
            </w:r>
          </w:p>
        </w:tc>
        <w:tc>
          <w:tcPr>
            <w:tcW w:w="6062" w:type="dxa"/>
            <w:vAlign w:val="center"/>
          </w:tcPr>
          <w:p w14:paraId="42793B6B">
            <w:pPr>
              <w:spacing w:line="240" w:lineRule="exact"/>
              <w:rPr>
                <w:rFonts w:ascii="宋体" w:hAnsi="宋体" w:cs="宋体"/>
                <w:szCs w:val="21"/>
              </w:rPr>
            </w:pPr>
            <w:r>
              <w:rPr>
                <w:rFonts w:hint="eastAsia" w:ascii="宋体" w:hAnsi="宋体" w:cs="宋体"/>
                <w:szCs w:val="21"/>
              </w:rPr>
              <w:t>设备的设计、制造、检验和验收的技术标准</w:t>
            </w:r>
          </w:p>
        </w:tc>
        <w:tc>
          <w:tcPr>
            <w:tcW w:w="1606" w:type="dxa"/>
            <w:vAlign w:val="center"/>
          </w:tcPr>
          <w:p w14:paraId="57B0E9F1">
            <w:pPr>
              <w:spacing w:line="240" w:lineRule="exact"/>
              <w:jc w:val="center"/>
              <w:rPr>
                <w:rFonts w:ascii="宋体" w:hAnsi="宋体" w:cs="宋体"/>
                <w:szCs w:val="21"/>
              </w:rPr>
            </w:pPr>
            <w:r>
              <w:rPr>
                <w:rFonts w:hint="eastAsia" w:ascii="宋体" w:hAnsi="宋体" w:cs="宋体"/>
                <w:szCs w:val="21"/>
              </w:rPr>
              <w:t>10天</w:t>
            </w:r>
          </w:p>
        </w:tc>
      </w:tr>
      <w:tr w14:paraId="4572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20" w:type="dxa"/>
            <w:vAlign w:val="center"/>
          </w:tcPr>
          <w:p w14:paraId="337C7684">
            <w:pPr>
              <w:spacing w:line="240" w:lineRule="exact"/>
              <w:jc w:val="center"/>
              <w:rPr>
                <w:rFonts w:ascii="宋体" w:hAnsi="宋体" w:cs="宋体"/>
                <w:szCs w:val="21"/>
              </w:rPr>
            </w:pPr>
            <w:r>
              <w:rPr>
                <w:rFonts w:hint="eastAsia" w:ascii="宋体" w:hAnsi="宋体" w:cs="宋体"/>
                <w:szCs w:val="21"/>
              </w:rPr>
              <w:t>5</w:t>
            </w:r>
          </w:p>
        </w:tc>
        <w:tc>
          <w:tcPr>
            <w:tcW w:w="6062" w:type="dxa"/>
            <w:vAlign w:val="center"/>
          </w:tcPr>
          <w:p w14:paraId="2CE58CF5">
            <w:pPr>
              <w:spacing w:line="240" w:lineRule="exact"/>
              <w:rPr>
                <w:rFonts w:ascii="宋体" w:hAnsi="宋体" w:cs="宋体"/>
                <w:szCs w:val="21"/>
              </w:rPr>
            </w:pPr>
            <w:r>
              <w:rPr>
                <w:rFonts w:hint="eastAsia" w:ascii="宋体" w:hAnsi="宋体" w:cs="宋体"/>
                <w:szCs w:val="21"/>
              </w:rPr>
              <w:t>承包人认为与土建相关联的</w:t>
            </w:r>
            <w:r>
              <w:rPr>
                <w:rFonts w:hint="eastAsia" w:ascii="宋体" w:hAnsi="宋体" w:cs="宋体"/>
                <w:szCs w:val="21"/>
                <w:lang w:eastAsia="zh-CN"/>
              </w:rPr>
              <w:t>其他</w:t>
            </w:r>
            <w:r>
              <w:rPr>
                <w:rFonts w:hint="eastAsia" w:ascii="宋体" w:hAnsi="宋体" w:cs="宋体"/>
                <w:szCs w:val="21"/>
              </w:rPr>
              <w:t>图纸</w:t>
            </w:r>
          </w:p>
        </w:tc>
        <w:tc>
          <w:tcPr>
            <w:tcW w:w="1606" w:type="dxa"/>
            <w:vAlign w:val="center"/>
          </w:tcPr>
          <w:p w14:paraId="5E454A19">
            <w:pPr>
              <w:spacing w:line="240" w:lineRule="exact"/>
              <w:jc w:val="center"/>
              <w:rPr>
                <w:rFonts w:ascii="宋体" w:hAnsi="宋体" w:cs="宋体"/>
                <w:szCs w:val="21"/>
              </w:rPr>
            </w:pPr>
            <w:r>
              <w:rPr>
                <w:rFonts w:hint="eastAsia" w:ascii="宋体" w:hAnsi="宋体" w:cs="宋体"/>
                <w:szCs w:val="21"/>
              </w:rPr>
              <w:t>10天</w:t>
            </w:r>
          </w:p>
        </w:tc>
      </w:tr>
      <w:tr w14:paraId="0496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20" w:type="dxa"/>
            <w:vAlign w:val="center"/>
          </w:tcPr>
          <w:p w14:paraId="248B180A">
            <w:pPr>
              <w:spacing w:line="240" w:lineRule="exact"/>
              <w:jc w:val="center"/>
              <w:rPr>
                <w:rFonts w:ascii="宋体" w:hAnsi="宋体" w:cs="宋体"/>
                <w:szCs w:val="21"/>
              </w:rPr>
            </w:pPr>
            <w:r>
              <w:rPr>
                <w:rFonts w:hint="eastAsia" w:ascii="宋体" w:hAnsi="宋体" w:cs="宋体"/>
                <w:szCs w:val="21"/>
              </w:rPr>
              <w:t>6</w:t>
            </w:r>
          </w:p>
        </w:tc>
        <w:tc>
          <w:tcPr>
            <w:tcW w:w="6062" w:type="dxa"/>
            <w:vAlign w:val="center"/>
          </w:tcPr>
          <w:p w14:paraId="356F84D9">
            <w:pPr>
              <w:spacing w:line="320" w:lineRule="exact"/>
              <w:jc w:val="center"/>
              <w:rPr>
                <w:rFonts w:ascii="宋体" w:hAnsi="宋体" w:cs="宋体"/>
                <w:szCs w:val="21"/>
              </w:rPr>
            </w:pPr>
            <w:r>
              <w:rPr>
                <w:rFonts w:hint="eastAsia" w:ascii="宋体" w:hAnsi="宋体" w:cs="宋体"/>
                <w:szCs w:val="21"/>
              </w:rPr>
              <w:t>主要部件运输简图（包括重量、吊运示意图、外形尺寸）</w:t>
            </w:r>
          </w:p>
        </w:tc>
        <w:tc>
          <w:tcPr>
            <w:tcW w:w="1606" w:type="dxa"/>
            <w:vAlign w:val="center"/>
          </w:tcPr>
          <w:p w14:paraId="4370DEEE">
            <w:pPr>
              <w:spacing w:line="240" w:lineRule="exact"/>
              <w:jc w:val="center"/>
              <w:rPr>
                <w:rFonts w:ascii="宋体" w:hAnsi="宋体" w:cs="宋体"/>
                <w:szCs w:val="21"/>
              </w:rPr>
            </w:pPr>
            <w:r>
              <w:rPr>
                <w:rFonts w:hint="eastAsia" w:ascii="宋体" w:hAnsi="宋体" w:cs="宋体"/>
                <w:szCs w:val="21"/>
              </w:rPr>
              <w:t>10天</w:t>
            </w:r>
          </w:p>
        </w:tc>
      </w:tr>
      <w:tr w14:paraId="56BD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20" w:type="dxa"/>
            <w:vAlign w:val="center"/>
          </w:tcPr>
          <w:p w14:paraId="0CBE6AC5">
            <w:pPr>
              <w:spacing w:line="240" w:lineRule="exact"/>
              <w:jc w:val="center"/>
              <w:rPr>
                <w:rFonts w:ascii="宋体" w:hAnsi="宋体" w:cs="宋体"/>
                <w:szCs w:val="21"/>
              </w:rPr>
            </w:pPr>
            <w:r>
              <w:rPr>
                <w:rFonts w:hint="eastAsia" w:ascii="宋体" w:hAnsi="宋体" w:cs="宋体"/>
                <w:szCs w:val="21"/>
              </w:rPr>
              <w:t>7</w:t>
            </w:r>
          </w:p>
        </w:tc>
        <w:tc>
          <w:tcPr>
            <w:tcW w:w="6062" w:type="dxa"/>
            <w:vAlign w:val="center"/>
          </w:tcPr>
          <w:p w14:paraId="67A1B132">
            <w:pPr>
              <w:spacing w:line="320" w:lineRule="exact"/>
              <w:ind w:right="-105" w:rightChars="-50"/>
              <w:jc w:val="center"/>
              <w:rPr>
                <w:rFonts w:ascii="宋体" w:hAnsi="宋体" w:cs="宋体"/>
                <w:szCs w:val="21"/>
              </w:rPr>
            </w:pPr>
            <w:r>
              <w:rPr>
                <w:rFonts w:hint="eastAsia" w:ascii="宋体" w:hAnsi="宋体" w:cs="宋体"/>
                <w:szCs w:val="21"/>
              </w:rPr>
              <w:t>设备总装配图（包括外形尺寸、零部件明细表及技术要求）</w:t>
            </w:r>
          </w:p>
        </w:tc>
        <w:tc>
          <w:tcPr>
            <w:tcW w:w="1606" w:type="dxa"/>
            <w:vAlign w:val="center"/>
          </w:tcPr>
          <w:p w14:paraId="011973C4">
            <w:pPr>
              <w:spacing w:line="240" w:lineRule="exact"/>
              <w:jc w:val="center"/>
              <w:rPr>
                <w:rFonts w:ascii="宋体" w:hAnsi="宋体" w:cs="宋体"/>
                <w:szCs w:val="21"/>
              </w:rPr>
            </w:pPr>
            <w:r>
              <w:rPr>
                <w:rFonts w:hint="eastAsia" w:ascii="宋体" w:hAnsi="宋体" w:cs="宋体"/>
                <w:szCs w:val="21"/>
              </w:rPr>
              <w:t>10天</w:t>
            </w:r>
          </w:p>
        </w:tc>
      </w:tr>
      <w:tr w14:paraId="6948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20" w:type="dxa"/>
            <w:vAlign w:val="center"/>
          </w:tcPr>
          <w:p w14:paraId="1E05ED6A">
            <w:pPr>
              <w:spacing w:line="240" w:lineRule="exact"/>
              <w:jc w:val="center"/>
              <w:rPr>
                <w:rFonts w:ascii="宋体" w:hAnsi="宋体" w:cs="宋体"/>
                <w:szCs w:val="21"/>
              </w:rPr>
            </w:pPr>
            <w:r>
              <w:rPr>
                <w:rFonts w:hint="eastAsia" w:ascii="宋体" w:hAnsi="宋体" w:cs="宋体"/>
                <w:szCs w:val="21"/>
              </w:rPr>
              <w:t>8</w:t>
            </w:r>
          </w:p>
        </w:tc>
        <w:tc>
          <w:tcPr>
            <w:tcW w:w="6062" w:type="dxa"/>
            <w:vAlign w:val="center"/>
          </w:tcPr>
          <w:p w14:paraId="52E8014F">
            <w:pPr>
              <w:spacing w:line="240" w:lineRule="exact"/>
              <w:rPr>
                <w:rFonts w:ascii="宋体" w:hAnsi="宋体" w:cs="宋体"/>
                <w:szCs w:val="21"/>
              </w:rPr>
            </w:pPr>
            <w:r>
              <w:rPr>
                <w:rFonts w:hint="eastAsia" w:ascii="宋体" w:hAnsi="宋体" w:cs="宋体"/>
                <w:szCs w:val="21"/>
              </w:rPr>
              <w:t>底座结构图</w:t>
            </w:r>
          </w:p>
        </w:tc>
        <w:tc>
          <w:tcPr>
            <w:tcW w:w="1606" w:type="dxa"/>
            <w:vAlign w:val="center"/>
          </w:tcPr>
          <w:p w14:paraId="48F6F6D5">
            <w:pPr>
              <w:spacing w:line="240" w:lineRule="exact"/>
              <w:jc w:val="center"/>
              <w:rPr>
                <w:rFonts w:ascii="宋体" w:hAnsi="宋体" w:cs="宋体"/>
                <w:szCs w:val="21"/>
              </w:rPr>
            </w:pPr>
            <w:r>
              <w:rPr>
                <w:rFonts w:hint="eastAsia" w:ascii="宋体" w:hAnsi="宋体" w:cs="宋体"/>
                <w:szCs w:val="21"/>
              </w:rPr>
              <w:t>10天</w:t>
            </w:r>
          </w:p>
        </w:tc>
      </w:tr>
      <w:tr w14:paraId="643D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20" w:type="dxa"/>
            <w:vAlign w:val="center"/>
          </w:tcPr>
          <w:p w14:paraId="33DE73E0">
            <w:pPr>
              <w:spacing w:line="240" w:lineRule="exact"/>
              <w:jc w:val="center"/>
              <w:rPr>
                <w:rFonts w:ascii="宋体" w:hAnsi="宋体" w:cs="宋体"/>
                <w:szCs w:val="21"/>
              </w:rPr>
            </w:pPr>
            <w:r>
              <w:rPr>
                <w:rFonts w:hint="eastAsia" w:ascii="宋体" w:hAnsi="宋体" w:cs="宋体"/>
                <w:szCs w:val="21"/>
              </w:rPr>
              <w:t>9</w:t>
            </w:r>
          </w:p>
        </w:tc>
        <w:tc>
          <w:tcPr>
            <w:tcW w:w="6062" w:type="dxa"/>
            <w:vAlign w:val="center"/>
          </w:tcPr>
          <w:p w14:paraId="0E2945EB">
            <w:pPr>
              <w:spacing w:line="240" w:lineRule="exact"/>
              <w:rPr>
                <w:rFonts w:ascii="宋体" w:hAnsi="宋体" w:cs="宋体"/>
                <w:szCs w:val="21"/>
              </w:rPr>
            </w:pPr>
            <w:r>
              <w:rPr>
                <w:rFonts w:hint="eastAsia" w:ascii="宋体" w:hAnsi="宋体" w:cs="宋体"/>
                <w:szCs w:val="21"/>
              </w:rPr>
              <w:t>工厂检验报告</w:t>
            </w:r>
          </w:p>
        </w:tc>
        <w:tc>
          <w:tcPr>
            <w:tcW w:w="1606" w:type="dxa"/>
            <w:vAlign w:val="center"/>
          </w:tcPr>
          <w:p w14:paraId="3C4202A0">
            <w:pPr>
              <w:spacing w:line="240" w:lineRule="exact"/>
              <w:jc w:val="center"/>
              <w:rPr>
                <w:rFonts w:ascii="宋体" w:hAnsi="宋体" w:cs="宋体"/>
                <w:szCs w:val="21"/>
              </w:rPr>
            </w:pPr>
            <w:r>
              <w:rPr>
                <w:rFonts w:hint="eastAsia" w:ascii="宋体" w:hAnsi="宋体" w:cs="宋体"/>
                <w:szCs w:val="21"/>
              </w:rPr>
              <w:t>出厂前</w:t>
            </w:r>
          </w:p>
        </w:tc>
      </w:tr>
      <w:tr w14:paraId="5408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20" w:type="dxa"/>
            <w:vAlign w:val="center"/>
          </w:tcPr>
          <w:p w14:paraId="79B6BB66">
            <w:pPr>
              <w:spacing w:line="240" w:lineRule="exact"/>
              <w:jc w:val="center"/>
              <w:rPr>
                <w:rFonts w:ascii="宋体" w:hAnsi="宋体" w:cs="宋体"/>
                <w:szCs w:val="21"/>
              </w:rPr>
            </w:pPr>
            <w:r>
              <w:rPr>
                <w:rFonts w:hint="eastAsia" w:ascii="宋体" w:hAnsi="宋体" w:cs="宋体"/>
                <w:szCs w:val="21"/>
              </w:rPr>
              <w:t>10</w:t>
            </w:r>
          </w:p>
        </w:tc>
        <w:tc>
          <w:tcPr>
            <w:tcW w:w="6062" w:type="dxa"/>
            <w:vAlign w:val="center"/>
          </w:tcPr>
          <w:p w14:paraId="7B802287">
            <w:pPr>
              <w:spacing w:line="240" w:lineRule="exact"/>
              <w:rPr>
                <w:rFonts w:ascii="宋体" w:hAnsi="宋体" w:cs="宋体"/>
                <w:szCs w:val="21"/>
              </w:rPr>
            </w:pPr>
            <w:r>
              <w:rPr>
                <w:rFonts w:hint="eastAsia" w:ascii="宋体" w:hAnsi="宋体" w:cs="宋体"/>
                <w:szCs w:val="21"/>
              </w:rPr>
              <w:t>设备安装、调试、试运行、使用和维护说明书</w:t>
            </w:r>
          </w:p>
        </w:tc>
        <w:tc>
          <w:tcPr>
            <w:tcW w:w="1606" w:type="dxa"/>
            <w:vAlign w:val="center"/>
          </w:tcPr>
          <w:p w14:paraId="2A6C5B58">
            <w:pPr>
              <w:spacing w:line="240" w:lineRule="exact"/>
              <w:jc w:val="center"/>
              <w:rPr>
                <w:rFonts w:ascii="宋体" w:hAnsi="宋体" w:cs="宋体"/>
                <w:szCs w:val="21"/>
              </w:rPr>
            </w:pPr>
            <w:r>
              <w:rPr>
                <w:rFonts w:hint="eastAsia" w:ascii="宋体" w:hAnsi="宋体" w:cs="宋体"/>
                <w:szCs w:val="21"/>
              </w:rPr>
              <w:t>10天</w:t>
            </w:r>
          </w:p>
        </w:tc>
      </w:tr>
      <w:tr w14:paraId="03DD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20" w:type="dxa"/>
            <w:vAlign w:val="center"/>
          </w:tcPr>
          <w:p w14:paraId="1B3D494F">
            <w:pPr>
              <w:spacing w:line="240" w:lineRule="exact"/>
              <w:jc w:val="center"/>
              <w:rPr>
                <w:rFonts w:ascii="宋体" w:hAnsi="宋体" w:cs="宋体"/>
                <w:szCs w:val="21"/>
              </w:rPr>
            </w:pPr>
            <w:r>
              <w:rPr>
                <w:rFonts w:hint="eastAsia" w:ascii="宋体" w:hAnsi="宋体" w:cs="宋体"/>
                <w:szCs w:val="21"/>
              </w:rPr>
              <w:t>11</w:t>
            </w:r>
          </w:p>
        </w:tc>
        <w:tc>
          <w:tcPr>
            <w:tcW w:w="6062" w:type="dxa"/>
            <w:vAlign w:val="center"/>
          </w:tcPr>
          <w:p w14:paraId="2AD9677E">
            <w:pPr>
              <w:spacing w:line="240" w:lineRule="exact"/>
              <w:rPr>
                <w:rFonts w:ascii="宋体" w:hAnsi="宋体" w:cs="宋体"/>
                <w:szCs w:val="21"/>
              </w:rPr>
            </w:pPr>
            <w:r>
              <w:rPr>
                <w:rFonts w:hint="eastAsia" w:ascii="宋体" w:hAnsi="宋体" w:cs="宋体"/>
                <w:szCs w:val="21"/>
              </w:rPr>
              <w:t>按有关规定的随机图纸</w:t>
            </w:r>
          </w:p>
        </w:tc>
        <w:tc>
          <w:tcPr>
            <w:tcW w:w="1606" w:type="dxa"/>
            <w:vAlign w:val="center"/>
          </w:tcPr>
          <w:p w14:paraId="7A1C635A">
            <w:pPr>
              <w:spacing w:line="240" w:lineRule="exact"/>
              <w:jc w:val="center"/>
              <w:rPr>
                <w:rFonts w:ascii="宋体" w:hAnsi="宋体" w:cs="宋体"/>
                <w:szCs w:val="21"/>
              </w:rPr>
            </w:pPr>
            <w:r>
              <w:rPr>
                <w:rFonts w:hint="eastAsia" w:ascii="宋体" w:hAnsi="宋体" w:cs="宋体"/>
                <w:szCs w:val="21"/>
              </w:rPr>
              <w:t>随机到工地</w:t>
            </w:r>
          </w:p>
        </w:tc>
      </w:tr>
    </w:tbl>
    <w:p w14:paraId="47CD6992">
      <w:pPr>
        <w:widowControl/>
        <w:spacing w:line="240" w:lineRule="auto"/>
        <w:jc w:val="left"/>
        <w:rPr>
          <w:rFonts w:asciiTheme="minorEastAsia" w:hAnsiTheme="minorEastAsia"/>
          <w:b/>
          <w:sz w:val="32"/>
          <w:szCs w:val="32"/>
        </w:rPr>
      </w:pPr>
      <w:r>
        <w:rPr>
          <w:rFonts w:asciiTheme="minorEastAsia" w:hAnsiTheme="minorEastAsia"/>
          <w:b/>
          <w:sz w:val="32"/>
          <w:szCs w:val="32"/>
        </w:rPr>
        <w:br w:type="page"/>
      </w:r>
      <w:bookmarkStart w:id="539" w:name="_Toc511644551"/>
      <w:bookmarkStart w:id="540" w:name="_Toc51340280"/>
      <w:bookmarkStart w:id="541" w:name="_Toc46475203"/>
      <w:bookmarkStart w:id="542" w:name="_Toc515441367"/>
      <w:bookmarkStart w:id="543" w:name="_Toc7186469"/>
      <w:bookmarkStart w:id="544" w:name="_Toc511645165"/>
    </w:p>
    <w:bookmarkEnd w:id="539"/>
    <w:bookmarkEnd w:id="540"/>
    <w:bookmarkEnd w:id="541"/>
    <w:bookmarkEnd w:id="542"/>
    <w:bookmarkEnd w:id="543"/>
    <w:bookmarkEnd w:id="544"/>
    <w:p w14:paraId="4A405F5E">
      <w:pPr>
        <w:pStyle w:val="62"/>
        <w:numPr>
          <w:ilvl w:val="0"/>
          <w:numId w:val="8"/>
        </w:numPr>
        <w:bidi w:val="0"/>
        <w:rPr>
          <w:rFonts w:hint="eastAsia"/>
          <w:lang w:val="en-US" w:eastAsia="zh-CN"/>
        </w:rPr>
      </w:pPr>
      <w:bookmarkStart w:id="545" w:name="_Toc24029"/>
      <w:bookmarkStart w:id="546" w:name="_Toc6717"/>
      <w:bookmarkStart w:id="547" w:name="_Toc27464"/>
      <w:bookmarkStart w:id="548" w:name="_Toc511645169"/>
      <w:bookmarkStart w:id="549" w:name="_Toc515441371"/>
      <w:bookmarkStart w:id="550" w:name="_Toc120110849"/>
      <w:bookmarkStart w:id="551" w:name="_Toc511644555"/>
      <w:r>
        <w:rPr>
          <w:rFonts w:hint="eastAsia"/>
          <w:lang w:val="en-US" w:eastAsia="zh-CN"/>
        </w:rPr>
        <w:t>合同条款及格式</w:t>
      </w:r>
      <w:bookmarkEnd w:id="545"/>
      <w:bookmarkEnd w:id="546"/>
      <w:bookmarkEnd w:id="547"/>
    </w:p>
    <w:p w14:paraId="3845046E">
      <w:pPr>
        <w:rPr>
          <w:rFonts w:hint="eastAsia" w:asciiTheme="majorEastAsia" w:hAnsiTheme="majorEastAsia" w:eastAsiaTheme="majorEastAsia"/>
          <w:sz w:val="36"/>
          <w:szCs w:val="36"/>
          <w:lang w:val="en-US" w:eastAsia="zh-CN"/>
        </w:rPr>
      </w:pPr>
    </w:p>
    <w:p w14:paraId="4218FB94">
      <w:pPr>
        <w:spacing w:line="560" w:lineRule="exact"/>
        <w:ind w:right="-57" w:rightChars="-27"/>
        <w:jc w:val="center"/>
        <w:rPr>
          <w:rFonts w:hint="eastAsia" w:ascii="宋体" w:hAnsi="宋体" w:eastAsia="宋体" w:cs="Times New Roman"/>
          <w:b/>
          <w:caps/>
          <w:sz w:val="36"/>
          <w:szCs w:val="36"/>
        </w:rPr>
      </w:pPr>
      <w:r>
        <w:rPr>
          <w:rFonts w:hint="eastAsia" w:ascii="宋体" w:hAnsi="宋体" w:eastAsia="宋体" w:cs="Times New Roman"/>
          <w:b/>
          <w:caps/>
          <w:sz w:val="36"/>
          <w:szCs w:val="36"/>
        </w:rPr>
        <w:br w:type="textWrapping"/>
      </w:r>
    </w:p>
    <w:p w14:paraId="51FB5748">
      <w:pPr>
        <w:rPr>
          <w:rFonts w:hint="eastAsia" w:ascii="宋体" w:hAnsi="宋体" w:eastAsia="宋体" w:cs="Times New Roman"/>
          <w:b/>
          <w:caps/>
          <w:sz w:val="36"/>
          <w:szCs w:val="36"/>
        </w:rPr>
      </w:pPr>
      <w:r>
        <w:rPr>
          <w:rFonts w:hint="eastAsia" w:ascii="宋体" w:hAnsi="宋体" w:eastAsia="宋体" w:cs="Times New Roman"/>
          <w:b/>
          <w:caps/>
          <w:sz w:val="36"/>
          <w:szCs w:val="36"/>
        </w:rPr>
        <w:br w:type="page"/>
      </w:r>
    </w:p>
    <w:p w14:paraId="6518CF72">
      <w:pPr>
        <w:spacing w:line="560" w:lineRule="exact"/>
        <w:ind w:right="-57" w:rightChars="-27"/>
        <w:jc w:val="center"/>
        <w:rPr>
          <w:rFonts w:ascii="宋体" w:hAnsi="宋体" w:eastAsia="宋体" w:cs="Times New Roman"/>
          <w:b/>
          <w:caps/>
          <w:sz w:val="36"/>
          <w:szCs w:val="36"/>
        </w:rPr>
      </w:pPr>
      <w:r>
        <w:rPr>
          <w:rFonts w:hint="eastAsia" w:ascii="宋体" w:hAnsi="宋体" w:eastAsia="宋体" w:cs="Times New Roman"/>
          <w:b/>
          <w:caps/>
          <w:sz w:val="36"/>
          <w:szCs w:val="36"/>
        </w:rPr>
        <w:t>福建省水利水电工程局有限公司</w:t>
      </w:r>
    </w:p>
    <w:p w14:paraId="123EDDB1">
      <w:pPr>
        <w:pStyle w:val="30"/>
        <w:ind w:left="1807" w:leftChars="0" w:hanging="1807" w:hangingChars="500"/>
        <w:jc w:val="center"/>
        <w:rPr>
          <w:rFonts w:ascii="宋体" w:hAnsi="宋体"/>
          <w:b/>
          <w:caps/>
          <w:sz w:val="36"/>
          <w:szCs w:val="36"/>
        </w:rPr>
      </w:pPr>
      <w:r>
        <w:rPr>
          <w:rFonts w:hint="eastAsia" w:ascii="宋体" w:hAnsi="宋体" w:eastAsia="宋体" w:cs="Times New Roman"/>
          <w:b/>
          <w:caps/>
          <w:sz w:val="36"/>
          <w:szCs w:val="36"/>
        </w:rPr>
        <w:t>漳州市东南部沿海地区九龙江调水工程</w:t>
      </w:r>
    </w:p>
    <w:p w14:paraId="6F1BB326">
      <w:pPr>
        <w:pStyle w:val="30"/>
        <w:ind w:left="1807" w:leftChars="0" w:hanging="1807" w:hangingChars="500"/>
        <w:jc w:val="center"/>
        <w:rPr>
          <w:rFonts w:ascii="宋体" w:hAnsi="宋体"/>
          <w:b/>
          <w:caps/>
          <w:sz w:val="36"/>
          <w:szCs w:val="36"/>
        </w:rPr>
      </w:pPr>
      <w:r>
        <w:rPr>
          <w:rFonts w:hint="eastAsia" w:ascii="宋体" w:hAnsi="宋体"/>
          <w:b/>
          <w:caps/>
          <w:sz w:val="36"/>
          <w:szCs w:val="36"/>
        </w:rPr>
        <w:t>阀门类</w:t>
      </w:r>
      <w:r>
        <w:rPr>
          <w:rFonts w:hint="eastAsia" w:ascii="宋体" w:hAnsi="宋体" w:eastAsia="宋体" w:cs="Times New Roman"/>
          <w:b/>
          <w:caps/>
          <w:sz w:val="36"/>
          <w:szCs w:val="36"/>
        </w:rPr>
        <w:t>集中采购框架协议</w:t>
      </w:r>
    </w:p>
    <w:p w14:paraId="030AFD18">
      <w:pPr>
        <w:spacing w:line="560" w:lineRule="exact"/>
        <w:rPr>
          <w:rFonts w:ascii="宋体" w:hAnsi="宋体" w:eastAsia="宋体" w:cs="宋体"/>
          <w:caps/>
          <w:sz w:val="24"/>
          <w:szCs w:val="24"/>
        </w:rPr>
      </w:pPr>
      <w:r>
        <w:rPr>
          <w:rFonts w:hint="eastAsia" w:ascii="宋体" w:hAnsi="宋体" w:eastAsia="宋体" w:cs="宋体"/>
          <w:caps/>
          <w:sz w:val="24"/>
          <w:szCs w:val="24"/>
        </w:rPr>
        <w:t>协议各方：</w:t>
      </w:r>
    </w:p>
    <w:p w14:paraId="19C22E58">
      <w:pPr>
        <w:spacing w:line="560" w:lineRule="exact"/>
        <w:rPr>
          <w:rFonts w:hint="eastAsia" w:ascii="宋体" w:hAnsi="宋体" w:eastAsia="宋体" w:cs="宋体"/>
          <w:caps/>
          <w:sz w:val="24"/>
          <w:szCs w:val="24"/>
          <w:lang w:eastAsia="zh-CN"/>
        </w:rPr>
      </w:pPr>
      <w:r>
        <w:rPr>
          <w:rFonts w:hint="eastAsia" w:ascii="宋体" w:hAnsi="宋体" w:eastAsia="宋体" w:cs="宋体"/>
          <w:caps/>
          <w:sz w:val="24"/>
          <w:szCs w:val="24"/>
        </w:rPr>
        <w:t>甲 方（集中采购机构）：福建省水利水电工程局有限公司</w:t>
      </w:r>
    </w:p>
    <w:p w14:paraId="49C7874D">
      <w:pPr>
        <w:widowControl/>
        <w:shd w:val="clear" w:color="auto" w:fill="FFFFFF"/>
        <w:snapToGrid w:val="0"/>
        <w:jc w:val="left"/>
        <w:rPr>
          <w:rFonts w:ascii="宋体" w:hAnsi="宋体" w:eastAsia="宋体" w:cs="宋体"/>
          <w:caps/>
          <w:sz w:val="24"/>
          <w:szCs w:val="24"/>
        </w:rPr>
      </w:pPr>
      <w:r>
        <w:rPr>
          <w:rFonts w:hint="eastAsia" w:ascii="宋体" w:hAnsi="宋体" w:eastAsia="宋体" w:cs="宋体"/>
          <w:caps/>
          <w:sz w:val="24"/>
          <w:szCs w:val="24"/>
        </w:rPr>
        <w:t>住  所：泉州市丰泽区丰惠路87号</w:t>
      </w:r>
    </w:p>
    <w:p w14:paraId="4CF048C1">
      <w:pPr>
        <w:spacing w:line="560" w:lineRule="exact"/>
        <w:rPr>
          <w:rFonts w:ascii="宋体" w:hAnsi="宋体" w:eastAsia="宋体" w:cs="宋体"/>
          <w:caps/>
          <w:sz w:val="24"/>
          <w:szCs w:val="24"/>
        </w:rPr>
      </w:pPr>
      <w:r>
        <w:rPr>
          <w:rFonts w:hint="eastAsia" w:ascii="宋体" w:hAnsi="宋体" w:eastAsia="宋体" w:cs="宋体"/>
          <w:caps/>
          <w:sz w:val="24"/>
          <w:szCs w:val="24"/>
        </w:rPr>
        <w:t>邮  编：362000</w:t>
      </w:r>
    </w:p>
    <w:p w14:paraId="0DF0258C">
      <w:pPr>
        <w:spacing w:line="560" w:lineRule="exact"/>
        <w:rPr>
          <w:rFonts w:ascii="宋体" w:hAnsi="宋体" w:eastAsia="宋体" w:cs="宋体"/>
          <w:caps/>
          <w:sz w:val="24"/>
          <w:szCs w:val="24"/>
        </w:rPr>
      </w:pPr>
      <w:r>
        <w:rPr>
          <w:rFonts w:hint="eastAsia" w:ascii="宋体" w:hAnsi="宋体" w:eastAsia="宋体" w:cs="宋体"/>
          <w:caps/>
          <w:sz w:val="24"/>
          <w:szCs w:val="24"/>
        </w:rPr>
        <w:t>联系人：潘先生</w:t>
      </w:r>
    </w:p>
    <w:p w14:paraId="077E615A">
      <w:pPr>
        <w:spacing w:line="560" w:lineRule="exact"/>
        <w:rPr>
          <w:rFonts w:hint="eastAsia" w:ascii="宋体" w:hAnsi="宋体" w:eastAsia="宋体" w:cs="宋体"/>
          <w:caps/>
          <w:sz w:val="24"/>
          <w:szCs w:val="24"/>
        </w:rPr>
      </w:pPr>
      <w:r>
        <w:rPr>
          <w:rFonts w:hint="eastAsia" w:ascii="宋体" w:hAnsi="宋体" w:eastAsia="宋体" w:cs="宋体"/>
          <w:caps/>
          <w:sz w:val="24"/>
          <w:szCs w:val="24"/>
        </w:rPr>
        <w:t>电 话：0595-22372150、13959973189</w:t>
      </w:r>
    </w:p>
    <w:p w14:paraId="52AB3E85">
      <w:pPr>
        <w:pStyle w:val="2"/>
        <w:keepNext w:val="0"/>
        <w:keepLines w:val="0"/>
        <w:pageBreakBefore w:val="0"/>
        <w:widowControl w:val="0"/>
        <w:kinsoku/>
        <w:wordWrap/>
        <w:overflowPunct/>
        <w:topLinePunct w:val="0"/>
        <w:autoSpaceDE/>
        <w:autoSpaceDN/>
        <w:bidi w:val="0"/>
        <w:adjustRightInd/>
        <w:snapToGrid/>
        <w:spacing w:line="400" w:lineRule="exact"/>
        <w:textAlignment w:val="baseline"/>
        <w:rPr>
          <w:rFonts w:hint="eastAsia"/>
        </w:rPr>
      </w:pPr>
    </w:p>
    <w:p w14:paraId="71D6A9C9">
      <w:pPr>
        <w:pStyle w:val="2"/>
        <w:keepNext w:val="0"/>
        <w:keepLines w:val="0"/>
        <w:pageBreakBefore w:val="0"/>
        <w:widowControl w:val="0"/>
        <w:kinsoku/>
        <w:wordWrap/>
        <w:overflowPunct/>
        <w:topLinePunct w:val="0"/>
        <w:autoSpaceDE/>
        <w:autoSpaceDN/>
        <w:bidi w:val="0"/>
        <w:adjustRightInd/>
        <w:snapToGrid/>
        <w:spacing w:line="400" w:lineRule="exact"/>
        <w:textAlignment w:val="baseline"/>
        <w:rPr>
          <w:rFonts w:hint="eastAsia" w:ascii="宋体" w:hAnsi="宋体" w:eastAsia="宋体" w:cs="宋体"/>
          <w:caps/>
          <w:sz w:val="24"/>
          <w:szCs w:val="24"/>
        </w:rPr>
      </w:pPr>
    </w:p>
    <w:p w14:paraId="039B605A">
      <w:pPr>
        <w:spacing w:line="560" w:lineRule="exact"/>
        <w:rPr>
          <w:rFonts w:ascii="宋体" w:hAnsi="宋体" w:eastAsia="宋体" w:cs="宋体"/>
          <w:caps/>
          <w:sz w:val="24"/>
          <w:szCs w:val="24"/>
        </w:rPr>
      </w:pPr>
      <w:r>
        <w:rPr>
          <w:rFonts w:hint="eastAsia" w:ascii="宋体" w:hAnsi="宋体" w:eastAsia="宋体" w:cs="宋体"/>
          <w:caps/>
          <w:sz w:val="24"/>
          <w:szCs w:val="24"/>
        </w:rPr>
        <w:t>乙方（协议供应商）：</w:t>
      </w:r>
    </w:p>
    <w:p w14:paraId="4ED1D0E7">
      <w:pPr>
        <w:spacing w:line="560" w:lineRule="exact"/>
        <w:rPr>
          <w:rFonts w:ascii="宋体" w:hAnsi="宋体" w:eastAsia="宋体" w:cs="宋体"/>
          <w:caps/>
          <w:sz w:val="24"/>
          <w:szCs w:val="24"/>
        </w:rPr>
      </w:pPr>
      <w:r>
        <w:rPr>
          <w:rFonts w:hint="eastAsia" w:ascii="宋体" w:hAnsi="宋体" w:eastAsia="宋体" w:cs="宋体"/>
          <w:caps/>
          <w:sz w:val="24"/>
          <w:szCs w:val="24"/>
        </w:rPr>
        <w:t xml:space="preserve">住  所：                                </w:t>
      </w:r>
    </w:p>
    <w:p w14:paraId="0207EE00">
      <w:pPr>
        <w:spacing w:line="560" w:lineRule="exact"/>
        <w:rPr>
          <w:rFonts w:ascii="宋体" w:hAnsi="宋体" w:eastAsia="宋体" w:cs="宋体"/>
          <w:caps/>
          <w:sz w:val="24"/>
          <w:szCs w:val="24"/>
        </w:rPr>
      </w:pPr>
      <w:r>
        <w:rPr>
          <w:rFonts w:hint="eastAsia" w:ascii="宋体" w:hAnsi="宋体" w:eastAsia="宋体" w:cs="宋体"/>
          <w:caps/>
          <w:sz w:val="24"/>
          <w:szCs w:val="24"/>
        </w:rPr>
        <w:t>邮  编：</w:t>
      </w:r>
    </w:p>
    <w:p w14:paraId="2B9E68F3">
      <w:pPr>
        <w:spacing w:line="560" w:lineRule="exact"/>
        <w:rPr>
          <w:rFonts w:ascii="宋体" w:hAnsi="宋体" w:eastAsia="宋体" w:cs="宋体"/>
          <w:caps/>
          <w:sz w:val="24"/>
          <w:szCs w:val="24"/>
        </w:rPr>
      </w:pPr>
      <w:r>
        <w:rPr>
          <w:rFonts w:hint="eastAsia" w:ascii="宋体" w:hAnsi="宋体" w:eastAsia="宋体" w:cs="宋体"/>
          <w:caps/>
          <w:sz w:val="24"/>
          <w:szCs w:val="24"/>
        </w:rPr>
        <w:t>联系人：</w:t>
      </w:r>
    </w:p>
    <w:p w14:paraId="34CFE0EA">
      <w:pPr>
        <w:spacing w:line="560" w:lineRule="exact"/>
        <w:jc w:val="left"/>
        <w:rPr>
          <w:rFonts w:hint="eastAsia" w:ascii="宋体" w:hAnsi="宋体" w:eastAsia="宋体" w:cs="宋体"/>
          <w:caps/>
          <w:sz w:val="24"/>
          <w:szCs w:val="24"/>
        </w:rPr>
      </w:pPr>
      <w:r>
        <w:rPr>
          <w:rFonts w:hint="eastAsia" w:ascii="宋体" w:hAnsi="宋体" w:eastAsia="宋体" w:cs="宋体"/>
          <w:caps/>
          <w:sz w:val="24"/>
          <w:szCs w:val="24"/>
        </w:rPr>
        <w:t>电  话：</w:t>
      </w:r>
    </w:p>
    <w:p w14:paraId="739EFE06">
      <w:pPr>
        <w:pStyle w:val="2"/>
      </w:pPr>
    </w:p>
    <w:p w14:paraId="6BA8404B">
      <w:pPr>
        <w:spacing w:line="560" w:lineRule="exact"/>
        <w:ind w:firstLine="480" w:firstLineChars="200"/>
        <w:rPr>
          <w:rFonts w:hint="eastAsia" w:ascii="宋体" w:hAnsi="宋体" w:eastAsia="宋体" w:cs="宋体"/>
          <w:caps/>
          <w:sz w:val="24"/>
          <w:szCs w:val="24"/>
          <w:highlight w:val="none"/>
        </w:rPr>
      </w:pPr>
      <w:r>
        <w:rPr>
          <w:rFonts w:hint="eastAsia" w:ascii="宋体" w:hAnsi="宋体" w:eastAsia="宋体" w:cs="宋体"/>
          <w:caps/>
          <w:sz w:val="24"/>
          <w:szCs w:val="24"/>
          <w:highlight w:val="none"/>
        </w:rPr>
        <w:t>根据《中华人民共和国合同法》及相关采购法规，依照</w:t>
      </w:r>
      <w:r>
        <w:rPr>
          <w:rFonts w:hint="eastAsia" w:ascii="宋体" w:hAnsi="宋体" w:eastAsia="宋体" w:cs="宋体"/>
          <w:b/>
          <w:bCs/>
          <w:caps/>
          <w:sz w:val="24"/>
          <w:szCs w:val="24"/>
          <w:highlight w:val="none"/>
          <w:u w:val="single"/>
        </w:rPr>
        <w:t>漳州市东南部沿海地区九龙江调水工程阀门类采购项目</w:t>
      </w:r>
      <w:r>
        <w:rPr>
          <w:rFonts w:hint="eastAsia" w:ascii="宋体" w:hAnsi="宋体" w:eastAsia="宋体" w:cs="宋体"/>
          <w:b/>
          <w:bCs/>
          <w:caps/>
          <w:sz w:val="24"/>
          <w:szCs w:val="24"/>
          <w:highlight w:val="none"/>
          <w:u w:val="single"/>
          <w:lang w:eastAsia="zh-CN"/>
        </w:rPr>
        <w:t>（</w:t>
      </w:r>
      <w:r>
        <w:rPr>
          <w:rFonts w:hint="eastAsia" w:ascii="宋体" w:hAnsi="宋体" w:eastAsia="宋体" w:cs="宋体"/>
          <w:b/>
          <w:bCs/>
          <w:caps/>
          <w:sz w:val="24"/>
          <w:szCs w:val="24"/>
          <w:highlight w:val="none"/>
          <w:u w:val="single"/>
          <w:lang w:val="en-US" w:eastAsia="zh-CN"/>
        </w:rPr>
        <w:t>重新招选）（</w:t>
      </w:r>
      <w:r>
        <w:rPr>
          <w:rFonts w:hint="eastAsia" w:ascii="宋体" w:hAnsi="宋体" w:eastAsia="宋体" w:cs="宋体"/>
          <w:b/>
          <w:bCs/>
          <w:caps/>
          <w:sz w:val="24"/>
          <w:szCs w:val="24"/>
          <w:highlight w:val="none"/>
          <w:u w:val="single"/>
        </w:rPr>
        <w:t>招</w:t>
      </w:r>
      <w:r>
        <w:rPr>
          <w:rFonts w:hint="eastAsia" w:ascii="宋体" w:hAnsi="宋体" w:eastAsia="宋体" w:cs="宋体"/>
          <w:b/>
          <w:bCs/>
          <w:caps/>
          <w:sz w:val="24"/>
          <w:szCs w:val="24"/>
          <w:highlight w:val="none"/>
          <w:u w:val="single"/>
          <w:lang w:val="en-US" w:eastAsia="zh-CN"/>
        </w:rPr>
        <w:t>选</w:t>
      </w:r>
      <w:r>
        <w:rPr>
          <w:rFonts w:hint="eastAsia" w:ascii="宋体" w:hAnsi="宋体" w:eastAsia="宋体" w:cs="宋体"/>
          <w:b/>
          <w:bCs/>
          <w:caps/>
          <w:sz w:val="24"/>
          <w:szCs w:val="24"/>
          <w:highlight w:val="none"/>
          <w:u w:val="single"/>
        </w:rPr>
        <w:t>编号：</w:t>
      </w:r>
      <w:r>
        <w:rPr>
          <w:rFonts w:hint="eastAsia" w:ascii="宋体" w:hAnsi="宋体" w:eastAsia="宋体" w:cs="宋体"/>
          <w:b/>
          <w:bCs/>
          <w:caps/>
          <w:sz w:val="24"/>
          <w:szCs w:val="24"/>
          <w:highlight w:val="none"/>
          <w:u w:val="single"/>
          <w:lang w:val="en-US" w:eastAsia="zh-CN"/>
        </w:rPr>
        <w:t>SLSD</w:t>
      </w:r>
      <w:r>
        <w:rPr>
          <w:rFonts w:hint="eastAsia" w:ascii="宋体" w:hAnsi="宋体" w:eastAsia="宋体" w:cs="宋体"/>
          <w:b/>
          <w:bCs/>
          <w:caps/>
          <w:sz w:val="24"/>
          <w:szCs w:val="24"/>
          <w:highlight w:val="none"/>
          <w:u w:val="single"/>
        </w:rPr>
        <w:t>-</w:t>
      </w:r>
      <w:r>
        <w:rPr>
          <w:rFonts w:hint="eastAsia" w:ascii="宋体" w:hAnsi="宋体" w:eastAsia="宋体" w:cs="宋体"/>
          <w:b/>
          <w:bCs/>
          <w:caps/>
          <w:sz w:val="24"/>
          <w:szCs w:val="24"/>
          <w:highlight w:val="none"/>
          <w:u w:val="single"/>
          <w:lang w:val="en-US" w:eastAsia="zh-CN"/>
        </w:rPr>
        <w:t>JLJFM</w:t>
      </w:r>
      <w:r>
        <w:rPr>
          <w:rFonts w:hint="eastAsia" w:ascii="宋体" w:hAnsi="宋体" w:eastAsia="宋体" w:cs="宋体"/>
          <w:b/>
          <w:bCs/>
          <w:caps/>
          <w:sz w:val="24"/>
          <w:szCs w:val="24"/>
          <w:highlight w:val="none"/>
          <w:u w:val="single"/>
        </w:rPr>
        <w:t>-202</w:t>
      </w:r>
      <w:r>
        <w:rPr>
          <w:rFonts w:hint="eastAsia" w:ascii="宋体" w:hAnsi="宋体" w:eastAsia="宋体" w:cs="宋体"/>
          <w:b/>
          <w:bCs/>
          <w:caps/>
          <w:sz w:val="24"/>
          <w:szCs w:val="24"/>
          <w:highlight w:val="none"/>
          <w:u w:val="single"/>
          <w:lang w:val="en-US" w:eastAsia="zh-CN"/>
        </w:rPr>
        <w:t>6</w:t>
      </w:r>
      <w:r>
        <w:rPr>
          <w:rFonts w:hint="eastAsia" w:ascii="宋体" w:hAnsi="宋体" w:eastAsia="宋体" w:cs="宋体"/>
          <w:b/>
          <w:bCs/>
          <w:caps/>
          <w:sz w:val="24"/>
          <w:szCs w:val="24"/>
          <w:highlight w:val="none"/>
          <w:u w:val="single"/>
        </w:rPr>
        <w:t>-00</w:t>
      </w:r>
      <w:r>
        <w:rPr>
          <w:rFonts w:hint="eastAsia" w:ascii="宋体" w:hAnsi="宋体" w:eastAsia="宋体" w:cs="宋体"/>
          <w:b/>
          <w:bCs/>
          <w:caps/>
          <w:sz w:val="24"/>
          <w:szCs w:val="24"/>
          <w:highlight w:val="none"/>
          <w:u w:val="single"/>
          <w:lang w:val="en-US" w:eastAsia="zh-CN"/>
        </w:rPr>
        <w:t>1）</w:t>
      </w:r>
      <w:r>
        <w:rPr>
          <w:rFonts w:hint="eastAsia" w:ascii="宋体" w:hAnsi="宋体" w:eastAsia="宋体" w:cs="宋体"/>
          <w:caps/>
          <w:sz w:val="24"/>
          <w:szCs w:val="24"/>
          <w:highlight w:val="none"/>
        </w:rPr>
        <w:t>中标结果，现甲方、采购人与乙方就协议采购事项，签署本集中采购框架协议。</w:t>
      </w:r>
    </w:p>
    <w:p w14:paraId="00E25688">
      <w:pPr>
        <w:spacing w:line="560" w:lineRule="exact"/>
        <w:ind w:firstLine="482" w:firstLineChars="200"/>
        <w:rPr>
          <w:rFonts w:ascii="宋体" w:hAnsi="宋体" w:eastAsia="宋体" w:cs="宋体"/>
          <w:b/>
          <w:caps/>
          <w:sz w:val="24"/>
          <w:szCs w:val="24"/>
          <w:highlight w:val="none"/>
        </w:rPr>
      </w:pPr>
      <w:r>
        <w:rPr>
          <w:rFonts w:hint="eastAsia" w:ascii="宋体" w:hAnsi="宋体" w:eastAsia="宋体" w:cs="宋体"/>
          <w:b/>
          <w:caps/>
          <w:sz w:val="24"/>
          <w:szCs w:val="24"/>
          <w:highlight w:val="none"/>
        </w:rPr>
        <w:t>第一条  协议适用当事人</w:t>
      </w:r>
    </w:p>
    <w:p w14:paraId="0631AAE6">
      <w:pPr>
        <w:spacing w:line="560" w:lineRule="exact"/>
        <w:ind w:firstLine="480" w:firstLineChars="200"/>
        <w:rPr>
          <w:rFonts w:ascii="宋体" w:hAnsi="宋体" w:eastAsia="宋体" w:cs="宋体"/>
          <w:caps/>
          <w:sz w:val="24"/>
          <w:szCs w:val="24"/>
          <w:highlight w:val="none"/>
        </w:rPr>
      </w:pPr>
      <w:r>
        <w:rPr>
          <w:rFonts w:hint="eastAsia" w:ascii="宋体" w:hAnsi="宋体" w:eastAsia="宋体" w:cs="宋体"/>
          <w:caps/>
          <w:sz w:val="24"/>
          <w:szCs w:val="24"/>
          <w:highlight w:val="none"/>
        </w:rPr>
        <w:t>本协议适用于甲方及采购人、乙方。</w:t>
      </w:r>
    </w:p>
    <w:p w14:paraId="11D3962C">
      <w:pPr>
        <w:pStyle w:val="30"/>
        <w:ind w:left="0" w:leftChars="0" w:firstLine="480"/>
        <w:jc w:val="left"/>
        <w:rPr>
          <w:rFonts w:ascii="宋体" w:hAnsi="宋体" w:eastAsia="宋体" w:cs="宋体"/>
          <w:caps/>
          <w:sz w:val="24"/>
          <w:szCs w:val="24"/>
          <w:highlight w:val="none"/>
        </w:rPr>
      </w:pPr>
      <w:r>
        <w:rPr>
          <w:rFonts w:hint="eastAsia" w:ascii="宋体" w:hAnsi="宋体" w:eastAsia="宋体" w:cs="宋体"/>
          <w:caps/>
          <w:sz w:val="24"/>
          <w:szCs w:val="24"/>
          <w:highlight w:val="none"/>
        </w:rPr>
        <w:t>本协议所称采购人包括福建省水利水电工程局有限公司和</w:t>
      </w:r>
      <w:r>
        <w:rPr>
          <w:rFonts w:hint="eastAsia" w:ascii="宋体" w:hAnsi="宋体"/>
          <w:color w:val="auto"/>
          <w:sz w:val="24"/>
          <w:szCs w:val="24"/>
          <w:highlight w:val="none"/>
          <w:lang w:val="en-US" w:eastAsia="zh-CN"/>
        </w:rPr>
        <w:t>福建省水投供应链管理有限公司</w:t>
      </w:r>
      <w:r>
        <w:rPr>
          <w:rFonts w:hint="eastAsia" w:ascii="宋体" w:hAnsi="宋体" w:eastAsia="宋体" w:cs="宋体"/>
          <w:caps/>
          <w:sz w:val="24"/>
          <w:szCs w:val="24"/>
          <w:highlight w:val="none"/>
        </w:rPr>
        <w:t>，在集中采购供货合同中为买方。</w:t>
      </w:r>
    </w:p>
    <w:p w14:paraId="6F9F62B2">
      <w:pPr>
        <w:spacing w:line="560" w:lineRule="exact"/>
        <w:ind w:firstLine="480" w:firstLineChars="200"/>
        <w:rPr>
          <w:rFonts w:ascii="宋体" w:hAnsi="宋体" w:eastAsia="宋体" w:cs="宋体"/>
          <w:caps/>
          <w:sz w:val="24"/>
          <w:szCs w:val="24"/>
          <w:highlight w:val="none"/>
        </w:rPr>
      </w:pPr>
      <w:r>
        <w:rPr>
          <w:rFonts w:hint="eastAsia" w:ascii="宋体" w:hAnsi="宋体" w:eastAsia="宋体" w:cs="宋体"/>
          <w:caps/>
          <w:sz w:val="24"/>
          <w:szCs w:val="24"/>
          <w:highlight w:val="none"/>
        </w:rPr>
        <w:t>在本协议确定的采购期限内，采购人与乙方直接签订供货合同，并通过采购订单的方式购买货物。乙方负责区域供货，根据本协议和供货合同向采购人履行供货义务。</w:t>
      </w:r>
    </w:p>
    <w:p w14:paraId="35CAAE56">
      <w:pPr>
        <w:numPr>
          <w:ilvl w:val="0"/>
          <w:numId w:val="9"/>
        </w:numPr>
        <w:spacing w:line="560" w:lineRule="exact"/>
        <w:ind w:firstLine="450" w:firstLineChars="200"/>
        <w:rPr>
          <w:rFonts w:ascii="宋体" w:hAnsi="宋体" w:eastAsia="宋体" w:cs="宋体"/>
          <w:b/>
          <w:caps/>
          <w:spacing w:val="-8"/>
          <w:sz w:val="24"/>
          <w:szCs w:val="24"/>
          <w:highlight w:val="none"/>
        </w:rPr>
      </w:pPr>
      <w:r>
        <w:rPr>
          <w:rFonts w:hint="eastAsia" w:ascii="宋体" w:hAnsi="宋体" w:eastAsia="宋体" w:cs="宋体"/>
          <w:b/>
          <w:caps/>
          <w:spacing w:val="-8"/>
          <w:sz w:val="24"/>
          <w:szCs w:val="24"/>
          <w:highlight w:val="none"/>
        </w:rPr>
        <w:t>协议供货货物名称、型号规格、单位、数量、单价</w:t>
      </w:r>
    </w:p>
    <w:tbl>
      <w:tblPr>
        <w:tblStyle w:val="31"/>
        <w:tblW w:w="8823" w:type="dxa"/>
        <w:tblInd w:w="93" w:type="dxa"/>
        <w:tblLayout w:type="fixed"/>
        <w:tblCellMar>
          <w:top w:w="0" w:type="dxa"/>
          <w:left w:w="108" w:type="dxa"/>
          <w:bottom w:w="0" w:type="dxa"/>
          <w:right w:w="108" w:type="dxa"/>
        </w:tblCellMar>
      </w:tblPr>
      <w:tblGrid>
        <w:gridCol w:w="645"/>
        <w:gridCol w:w="1670"/>
        <w:gridCol w:w="2273"/>
        <w:gridCol w:w="958"/>
        <w:gridCol w:w="969"/>
        <w:gridCol w:w="946"/>
        <w:gridCol w:w="1362"/>
      </w:tblGrid>
      <w:tr w14:paraId="02F3B5F0">
        <w:tblPrEx>
          <w:tblCellMar>
            <w:top w:w="0" w:type="dxa"/>
            <w:left w:w="108" w:type="dxa"/>
            <w:bottom w:w="0" w:type="dxa"/>
            <w:right w:w="108" w:type="dxa"/>
          </w:tblCellMar>
        </w:tblPrEx>
        <w:trPr>
          <w:trHeight w:val="581" w:hRule="atLeast"/>
        </w:trPr>
        <w:tc>
          <w:tcPr>
            <w:tcW w:w="6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EB12E7">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序号</w:t>
            </w:r>
          </w:p>
        </w:tc>
        <w:tc>
          <w:tcPr>
            <w:tcW w:w="1670" w:type="dxa"/>
            <w:tcBorders>
              <w:top w:val="single" w:color="auto" w:sz="4" w:space="0"/>
              <w:left w:val="nil"/>
              <w:bottom w:val="single" w:color="auto" w:sz="4" w:space="0"/>
              <w:right w:val="single" w:color="auto" w:sz="4" w:space="0"/>
            </w:tcBorders>
            <w:shd w:val="clear" w:color="auto" w:fill="auto"/>
            <w:noWrap/>
            <w:vAlign w:val="center"/>
          </w:tcPr>
          <w:p w14:paraId="50EB414B">
            <w:pPr>
              <w:widowControl/>
              <w:spacing w:line="240" w:lineRule="auto"/>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产品名称</w:t>
            </w:r>
          </w:p>
        </w:tc>
        <w:tc>
          <w:tcPr>
            <w:tcW w:w="2273" w:type="dxa"/>
            <w:tcBorders>
              <w:top w:val="single" w:color="auto" w:sz="4" w:space="0"/>
              <w:left w:val="nil"/>
              <w:bottom w:val="single" w:color="auto" w:sz="4" w:space="0"/>
              <w:right w:val="single" w:color="auto" w:sz="4" w:space="0"/>
            </w:tcBorders>
            <w:shd w:val="clear" w:color="auto" w:fill="auto"/>
            <w:noWrap/>
            <w:vAlign w:val="center"/>
          </w:tcPr>
          <w:p w14:paraId="5C736AD3">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规格型号</w:t>
            </w:r>
          </w:p>
        </w:tc>
        <w:tc>
          <w:tcPr>
            <w:tcW w:w="958" w:type="dxa"/>
            <w:tcBorders>
              <w:top w:val="single" w:color="auto" w:sz="4" w:space="0"/>
              <w:left w:val="nil"/>
              <w:bottom w:val="single" w:color="auto" w:sz="4" w:space="0"/>
              <w:right w:val="single" w:color="auto" w:sz="4" w:space="0"/>
            </w:tcBorders>
            <w:shd w:val="clear" w:color="auto" w:fill="auto"/>
            <w:noWrap/>
            <w:vAlign w:val="center"/>
          </w:tcPr>
          <w:p w14:paraId="3B15AC68">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计量</w:t>
            </w:r>
          </w:p>
          <w:p w14:paraId="4296057C">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单位</w:t>
            </w:r>
          </w:p>
        </w:tc>
        <w:tc>
          <w:tcPr>
            <w:tcW w:w="969" w:type="dxa"/>
            <w:tcBorders>
              <w:top w:val="single" w:color="auto" w:sz="4" w:space="0"/>
              <w:left w:val="nil"/>
              <w:bottom w:val="single" w:color="auto" w:sz="4" w:space="0"/>
              <w:right w:val="single" w:color="auto" w:sz="4" w:space="0"/>
            </w:tcBorders>
            <w:shd w:val="clear" w:color="auto" w:fill="auto"/>
            <w:noWrap/>
            <w:vAlign w:val="center"/>
          </w:tcPr>
          <w:p w14:paraId="1A86D019">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数量</w:t>
            </w:r>
          </w:p>
        </w:tc>
        <w:tc>
          <w:tcPr>
            <w:tcW w:w="946" w:type="dxa"/>
            <w:tcBorders>
              <w:top w:val="single" w:color="auto" w:sz="4" w:space="0"/>
              <w:left w:val="nil"/>
              <w:bottom w:val="single" w:color="auto" w:sz="4" w:space="0"/>
              <w:right w:val="single" w:color="auto" w:sz="4" w:space="0"/>
            </w:tcBorders>
            <w:shd w:val="clear" w:color="auto" w:fill="auto"/>
            <w:noWrap/>
            <w:vAlign w:val="center"/>
          </w:tcPr>
          <w:p w14:paraId="2B36CA97">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单价</w:t>
            </w:r>
          </w:p>
          <w:p w14:paraId="574D093A">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（元）</w:t>
            </w:r>
          </w:p>
        </w:tc>
        <w:tc>
          <w:tcPr>
            <w:tcW w:w="1362" w:type="dxa"/>
            <w:tcBorders>
              <w:top w:val="single" w:color="auto" w:sz="4" w:space="0"/>
              <w:left w:val="nil"/>
              <w:bottom w:val="single" w:color="auto" w:sz="4" w:space="0"/>
              <w:right w:val="single" w:color="auto" w:sz="4" w:space="0"/>
            </w:tcBorders>
            <w:shd w:val="clear" w:color="auto" w:fill="auto"/>
            <w:noWrap/>
            <w:vAlign w:val="center"/>
          </w:tcPr>
          <w:p w14:paraId="0BC6D5D6">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合价（元）</w:t>
            </w:r>
          </w:p>
        </w:tc>
      </w:tr>
      <w:tr w14:paraId="0DACE9B0">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599B2991">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w:t>
            </w:r>
          </w:p>
        </w:tc>
        <w:tc>
          <w:tcPr>
            <w:tcW w:w="1670" w:type="dxa"/>
            <w:tcBorders>
              <w:top w:val="nil"/>
              <w:left w:val="nil"/>
              <w:bottom w:val="single" w:color="auto" w:sz="4" w:space="0"/>
              <w:right w:val="single" w:color="auto" w:sz="4" w:space="0"/>
            </w:tcBorders>
            <w:shd w:val="clear" w:color="auto" w:fill="auto"/>
            <w:noWrap/>
            <w:vAlign w:val="center"/>
          </w:tcPr>
          <w:p w14:paraId="4657B130">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蝶阀</w:t>
            </w:r>
          </w:p>
        </w:tc>
        <w:tc>
          <w:tcPr>
            <w:tcW w:w="2273" w:type="dxa"/>
            <w:tcBorders>
              <w:top w:val="nil"/>
              <w:left w:val="nil"/>
              <w:bottom w:val="single" w:color="auto" w:sz="4" w:space="0"/>
              <w:right w:val="single" w:color="auto" w:sz="4" w:space="0"/>
            </w:tcBorders>
            <w:shd w:val="clear" w:color="auto" w:fill="auto"/>
            <w:vAlign w:val="center"/>
          </w:tcPr>
          <w:p w14:paraId="07CEA7DD">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Dd942X-10,DN=2800</w:t>
            </w:r>
          </w:p>
        </w:tc>
        <w:tc>
          <w:tcPr>
            <w:tcW w:w="958" w:type="dxa"/>
            <w:tcBorders>
              <w:top w:val="nil"/>
              <w:left w:val="nil"/>
              <w:bottom w:val="single" w:color="auto" w:sz="4" w:space="0"/>
              <w:right w:val="single" w:color="auto" w:sz="4" w:space="0"/>
            </w:tcBorders>
            <w:shd w:val="clear" w:color="auto" w:fill="auto"/>
            <w:noWrap/>
            <w:vAlign w:val="center"/>
          </w:tcPr>
          <w:p w14:paraId="4DD918B8">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2DF9911C">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19</w:t>
            </w:r>
          </w:p>
        </w:tc>
        <w:tc>
          <w:tcPr>
            <w:tcW w:w="946" w:type="dxa"/>
            <w:tcBorders>
              <w:top w:val="nil"/>
              <w:left w:val="nil"/>
              <w:bottom w:val="single" w:color="auto" w:sz="4" w:space="0"/>
              <w:right w:val="single" w:color="auto" w:sz="4" w:space="0"/>
            </w:tcBorders>
            <w:shd w:val="clear" w:color="000000" w:fill="FFFFFF"/>
            <w:noWrap/>
            <w:vAlign w:val="center"/>
          </w:tcPr>
          <w:p w14:paraId="7EB9C2B4">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5C49060A">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1963BBE5">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457FF90E">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2</w:t>
            </w:r>
          </w:p>
        </w:tc>
        <w:tc>
          <w:tcPr>
            <w:tcW w:w="1670" w:type="dxa"/>
            <w:tcBorders>
              <w:top w:val="nil"/>
              <w:left w:val="nil"/>
              <w:bottom w:val="single" w:color="auto" w:sz="4" w:space="0"/>
              <w:right w:val="single" w:color="auto" w:sz="4" w:space="0"/>
            </w:tcBorders>
            <w:shd w:val="clear" w:color="auto" w:fill="auto"/>
            <w:noWrap/>
            <w:vAlign w:val="center"/>
          </w:tcPr>
          <w:p w14:paraId="5DD115A8">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蝶阀</w:t>
            </w:r>
          </w:p>
        </w:tc>
        <w:tc>
          <w:tcPr>
            <w:tcW w:w="2273" w:type="dxa"/>
            <w:tcBorders>
              <w:top w:val="nil"/>
              <w:left w:val="nil"/>
              <w:bottom w:val="single" w:color="auto" w:sz="4" w:space="0"/>
              <w:right w:val="single" w:color="auto" w:sz="4" w:space="0"/>
            </w:tcBorders>
            <w:shd w:val="clear" w:color="auto" w:fill="auto"/>
            <w:vAlign w:val="center"/>
          </w:tcPr>
          <w:p w14:paraId="59E40A78">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Dd942X-10,DN=1200</w:t>
            </w:r>
          </w:p>
        </w:tc>
        <w:tc>
          <w:tcPr>
            <w:tcW w:w="958" w:type="dxa"/>
            <w:tcBorders>
              <w:top w:val="nil"/>
              <w:left w:val="nil"/>
              <w:bottom w:val="single" w:color="auto" w:sz="4" w:space="0"/>
              <w:right w:val="single" w:color="auto" w:sz="4" w:space="0"/>
            </w:tcBorders>
            <w:shd w:val="clear" w:color="auto" w:fill="auto"/>
            <w:noWrap/>
            <w:vAlign w:val="center"/>
          </w:tcPr>
          <w:p w14:paraId="1F5E27C8">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4A7208F7">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4</w:t>
            </w:r>
          </w:p>
        </w:tc>
        <w:tc>
          <w:tcPr>
            <w:tcW w:w="946" w:type="dxa"/>
            <w:tcBorders>
              <w:top w:val="nil"/>
              <w:left w:val="nil"/>
              <w:bottom w:val="single" w:color="auto" w:sz="4" w:space="0"/>
              <w:right w:val="single" w:color="auto" w:sz="4" w:space="0"/>
            </w:tcBorders>
            <w:shd w:val="clear" w:color="000000" w:fill="FFFFFF"/>
            <w:noWrap/>
            <w:vAlign w:val="center"/>
          </w:tcPr>
          <w:p w14:paraId="0A19117A">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1889E630">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75A0B556">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5B6A7963">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3</w:t>
            </w:r>
          </w:p>
        </w:tc>
        <w:tc>
          <w:tcPr>
            <w:tcW w:w="1670" w:type="dxa"/>
            <w:tcBorders>
              <w:top w:val="nil"/>
              <w:left w:val="nil"/>
              <w:bottom w:val="single" w:color="auto" w:sz="4" w:space="0"/>
              <w:right w:val="single" w:color="auto" w:sz="4" w:space="0"/>
            </w:tcBorders>
            <w:shd w:val="clear" w:color="auto" w:fill="auto"/>
            <w:noWrap/>
            <w:vAlign w:val="center"/>
          </w:tcPr>
          <w:p w14:paraId="00ED6CC9">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蝶阀</w:t>
            </w:r>
          </w:p>
        </w:tc>
        <w:tc>
          <w:tcPr>
            <w:tcW w:w="2273" w:type="dxa"/>
            <w:tcBorders>
              <w:top w:val="nil"/>
              <w:left w:val="nil"/>
              <w:bottom w:val="single" w:color="auto" w:sz="4" w:space="0"/>
              <w:right w:val="single" w:color="auto" w:sz="4" w:space="0"/>
            </w:tcBorders>
            <w:shd w:val="clear" w:color="auto" w:fill="auto"/>
            <w:vAlign w:val="center"/>
          </w:tcPr>
          <w:p w14:paraId="6247B8FD">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Dd942X-10,DN=400</w:t>
            </w:r>
          </w:p>
        </w:tc>
        <w:tc>
          <w:tcPr>
            <w:tcW w:w="958" w:type="dxa"/>
            <w:tcBorders>
              <w:top w:val="nil"/>
              <w:left w:val="nil"/>
              <w:bottom w:val="single" w:color="auto" w:sz="4" w:space="0"/>
              <w:right w:val="single" w:color="auto" w:sz="4" w:space="0"/>
            </w:tcBorders>
            <w:shd w:val="clear" w:color="auto" w:fill="auto"/>
            <w:noWrap/>
            <w:vAlign w:val="center"/>
          </w:tcPr>
          <w:p w14:paraId="14B17900">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1B21AA37">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w:t>
            </w:r>
          </w:p>
        </w:tc>
        <w:tc>
          <w:tcPr>
            <w:tcW w:w="946" w:type="dxa"/>
            <w:tcBorders>
              <w:top w:val="nil"/>
              <w:left w:val="nil"/>
              <w:bottom w:val="single" w:color="auto" w:sz="4" w:space="0"/>
              <w:right w:val="single" w:color="auto" w:sz="4" w:space="0"/>
            </w:tcBorders>
            <w:shd w:val="clear" w:color="000000" w:fill="FFFFFF"/>
            <w:noWrap/>
            <w:vAlign w:val="center"/>
          </w:tcPr>
          <w:p w14:paraId="6A94C888">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6510354F">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195EE77F">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6D2108DB">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4</w:t>
            </w:r>
          </w:p>
        </w:tc>
        <w:tc>
          <w:tcPr>
            <w:tcW w:w="1670" w:type="dxa"/>
            <w:tcBorders>
              <w:top w:val="nil"/>
              <w:left w:val="nil"/>
              <w:bottom w:val="single" w:color="auto" w:sz="4" w:space="0"/>
              <w:right w:val="single" w:color="auto" w:sz="4" w:space="0"/>
            </w:tcBorders>
            <w:shd w:val="clear" w:color="auto" w:fill="auto"/>
            <w:noWrap/>
            <w:vAlign w:val="center"/>
          </w:tcPr>
          <w:p w14:paraId="1D2AA15B">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闸阀</w:t>
            </w:r>
          </w:p>
        </w:tc>
        <w:tc>
          <w:tcPr>
            <w:tcW w:w="2273" w:type="dxa"/>
            <w:tcBorders>
              <w:top w:val="nil"/>
              <w:left w:val="nil"/>
              <w:bottom w:val="single" w:color="auto" w:sz="4" w:space="0"/>
              <w:right w:val="single" w:color="auto" w:sz="4" w:space="0"/>
            </w:tcBorders>
            <w:shd w:val="clear" w:color="auto" w:fill="auto"/>
            <w:vAlign w:val="center"/>
          </w:tcPr>
          <w:p w14:paraId="590193CE">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xml:space="preserve"> Z45X-10,DN=150</w:t>
            </w:r>
          </w:p>
        </w:tc>
        <w:tc>
          <w:tcPr>
            <w:tcW w:w="958" w:type="dxa"/>
            <w:tcBorders>
              <w:top w:val="nil"/>
              <w:left w:val="nil"/>
              <w:bottom w:val="single" w:color="auto" w:sz="4" w:space="0"/>
              <w:right w:val="single" w:color="auto" w:sz="4" w:space="0"/>
            </w:tcBorders>
            <w:shd w:val="clear" w:color="auto" w:fill="auto"/>
            <w:noWrap/>
            <w:vAlign w:val="center"/>
          </w:tcPr>
          <w:p w14:paraId="0F74C00C">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11448823">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19</w:t>
            </w:r>
          </w:p>
        </w:tc>
        <w:tc>
          <w:tcPr>
            <w:tcW w:w="946" w:type="dxa"/>
            <w:tcBorders>
              <w:top w:val="nil"/>
              <w:left w:val="nil"/>
              <w:bottom w:val="single" w:color="auto" w:sz="4" w:space="0"/>
              <w:right w:val="single" w:color="auto" w:sz="4" w:space="0"/>
            </w:tcBorders>
            <w:shd w:val="clear" w:color="000000" w:fill="FFFFFF"/>
            <w:noWrap/>
            <w:vAlign w:val="center"/>
          </w:tcPr>
          <w:p w14:paraId="50CF9A0A">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00FBEE5F">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6E343FBB">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6F6A740A">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5</w:t>
            </w:r>
          </w:p>
        </w:tc>
        <w:tc>
          <w:tcPr>
            <w:tcW w:w="1670" w:type="dxa"/>
            <w:tcBorders>
              <w:top w:val="nil"/>
              <w:left w:val="nil"/>
              <w:bottom w:val="single" w:color="auto" w:sz="4" w:space="0"/>
              <w:right w:val="single" w:color="auto" w:sz="4" w:space="0"/>
            </w:tcBorders>
            <w:shd w:val="clear" w:color="auto" w:fill="auto"/>
            <w:noWrap/>
            <w:vAlign w:val="center"/>
          </w:tcPr>
          <w:p w14:paraId="509270A5">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闸阀</w:t>
            </w:r>
          </w:p>
        </w:tc>
        <w:tc>
          <w:tcPr>
            <w:tcW w:w="2273" w:type="dxa"/>
            <w:tcBorders>
              <w:top w:val="nil"/>
              <w:left w:val="nil"/>
              <w:bottom w:val="single" w:color="auto" w:sz="4" w:space="0"/>
              <w:right w:val="single" w:color="auto" w:sz="4" w:space="0"/>
            </w:tcBorders>
            <w:shd w:val="clear" w:color="auto" w:fill="auto"/>
            <w:vAlign w:val="center"/>
          </w:tcPr>
          <w:p w14:paraId="69FAB2C6">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Z45X-10,DN=200</w:t>
            </w:r>
          </w:p>
        </w:tc>
        <w:tc>
          <w:tcPr>
            <w:tcW w:w="958" w:type="dxa"/>
            <w:tcBorders>
              <w:top w:val="nil"/>
              <w:left w:val="nil"/>
              <w:bottom w:val="single" w:color="auto" w:sz="4" w:space="0"/>
              <w:right w:val="single" w:color="auto" w:sz="4" w:space="0"/>
            </w:tcBorders>
            <w:shd w:val="clear" w:color="auto" w:fill="auto"/>
            <w:noWrap/>
            <w:vAlign w:val="center"/>
          </w:tcPr>
          <w:p w14:paraId="32D0B6D8">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50053D48">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147</w:t>
            </w:r>
          </w:p>
        </w:tc>
        <w:tc>
          <w:tcPr>
            <w:tcW w:w="946" w:type="dxa"/>
            <w:tcBorders>
              <w:top w:val="nil"/>
              <w:left w:val="nil"/>
              <w:bottom w:val="single" w:color="auto" w:sz="4" w:space="0"/>
              <w:right w:val="single" w:color="auto" w:sz="4" w:space="0"/>
            </w:tcBorders>
            <w:shd w:val="clear" w:color="000000" w:fill="FFFFFF"/>
            <w:noWrap/>
            <w:vAlign w:val="center"/>
          </w:tcPr>
          <w:p w14:paraId="114EFD75">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0E1C5FE9">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1735E8EE">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24ED5FA0">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6</w:t>
            </w:r>
          </w:p>
        </w:tc>
        <w:tc>
          <w:tcPr>
            <w:tcW w:w="1670" w:type="dxa"/>
            <w:tcBorders>
              <w:top w:val="nil"/>
              <w:left w:val="nil"/>
              <w:bottom w:val="single" w:color="auto" w:sz="4" w:space="0"/>
              <w:right w:val="single" w:color="auto" w:sz="4" w:space="0"/>
            </w:tcBorders>
            <w:shd w:val="clear" w:color="auto" w:fill="auto"/>
            <w:noWrap/>
            <w:vAlign w:val="center"/>
          </w:tcPr>
          <w:p w14:paraId="7AF10E38">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闸阀</w:t>
            </w:r>
          </w:p>
        </w:tc>
        <w:tc>
          <w:tcPr>
            <w:tcW w:w="2273" w:type="dxa"/>
            <w:tcBorders>
              <w:top w:val="nil"/>
              <w:left w:val="nil"/>
              <w:bottom w:val="single" w:color="auto" w:sz="4" w:space="0"/>
              <w:right w:val="single" w:color="auto" w:sz="4" w:space="0"/>
            </w:tcBorders>
            <w:shd w:val="clear" w:color="auto" w:fill="auto"/>
            <w:vAlign w:val="center"/>
          </w:tcPr>
          <w:p w14:paraId="4B52FA9F">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xml:space="preserve"> Z45X-10,DN=300</w:t>
            </w:r>
          </w:p>
        </w:tc>
        <w:tc>
          <w:tcPr>
            <w:tcW w:w="958" w:type="dxa"/>
            <w:tcBorders>
              <w:top w:val="nil"/>
              <w:left w:val="nil"/>
              <w:bottom w:val="single" w:color="auto" w:sz="4" w:space="0"/>
              <w:right w:val="single" w:color="auto" w:sz="4" w:space="0"/>
            </w:tcBorders>
            <w:shd w:val="clear" w:color="auto" w:fill="auto"/>
            <w:noWrap/>
            <w:vAlign w:val="center"/>
          </w:tcPr>
          <w:p w14:paraId="47890AD8">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398EC75A">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2</w:t>
            </w:r>
          </w:p>
        </w:tc>
        <w:tc>
          <w:tcPr>
            <w:tcW w:w="946" w:type="dxa"/>
            <w:tcBorders>
              <w:top w:val="nil"/>
              <w:left w:val="nil"/>
              <w:bottom w:val="single" w:color="auto" w:sz="4" w:space="0"/>
              <w:right w:val="single" w:color="auto" w:sz="4" w:space="0"/>
            </w:tcBorders>
            <w:shd w:val="clear" w:color="000000" w:fill="FFFFFF"/>
            <w:noWrap/>
            <w:vAlign w:val="center"/>
          </w:tcPr>
          <w:p w14:paraId="01384EB8">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4A24AF08">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4225F20A">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5277E9EC">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7</w:t>
            </w:r>
          </w:p>
        </w:tc>
        <w:tc>
          <w:tcPr>
            <w:tcW w:w="1670" w:type="dxa"/>
            <w:tcBorders>
              <w:top w:val="nil"/>
              <w:left w:val="nil"/>
              <w:bottom w:val="single" w:color="auto" w:sz="4" w:space="0"/>
              <w:right w:val="single" w:color="auto" w:sz="4" w:space="0"/>
            </w:tcBorders>
            <w:shd w:val="clear" w:color="auto" w:fill="auto"/>
            <w:noWrap/>
            <w:vAlign w:val="center"/>
          </w:tcPr>
          <w:p w14:paraId="74D17B4F">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偏心半球阀</w:t>
            </w:r>
          </w:p>
        </w:tc>
        <w:tc>
          <w:tcPr>
            <w:tcW w:w="2273" w:type="dxa"/>
            <w:tcBorders>
              <w:top w:val="nil"/>
              <w:left w:val="nil"/>
              <w:bottom w:val="single" w:color="auto" w:sz="4" w:space="0"/>
              <w:right w:val="single" w:color="auto" w:sz="4" w:space="0"/>
            </w:tcBorders>
            <w:shd w:val="clear" w:color="auto" w:fill="auto"/>
            <w:vAlign w:val="center"/>
          </w:tcPr>
          <w:p w14:paraId="33408CAE">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DN=600,PN=1.0MPa</w:t>
            </w:r>
          </w:p>
        </w:tc>
        <w:tc>
          <w:tcPr>
            <w:tcW w:w="958" w:type="dxa"/>
            <w:tcBorders>
              <w:top w:val="nil"/>
              <w:left w:val="nil"/>
              <w:bottom w:val="single" w:color="auto" w:sz="4" w:space="0"/>
              <w:right w:val="single" w:color="auto" w:sz="4" w:space="0"/>
            </w:tcBorders>
            <w:shd w:val="clear" w:color="auto" w:fill="auto"/>
            <w:noWrap/>
            <w:vAlign w:val="center"/>
          </w:tcPr>
          <w:p w14:paraId="7B28F8C9">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37782F23">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27</w:t>
            </w:r>
          </w:p>
        </w:tc>
        <w:tc>
          <w:tcPr>
            <w:tcW w:w="946" w:type="dxa"/>
            <w:tcBorders>
              <w:top w:val="nil"/>
              <w:left w:val="nil"/>
              <w:bottom w:val="single" w:color="auto" w:sz="4" w:space="0"/>
              <w:right w:val="single" w:color="auto" w:sz="4" w:space="0"/>
            </w:tcBorders>
            <w:shd w:val="clear" w:color="000000" w:fill="FFFFFF"/>
            <w:noWrap/>
            <w:vAlign w:val="center"/>
          </w:tcPr>
          <w:p w14:paraId="6BE407C9">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7698F1A2">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2E7B6755">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28540B4F">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8</w:t>
            </w:r>
          </w:p>
        </w:tc>
        <w:tc>
          <w:tcPr>
            <w:tcW w:w="1670" w:type="dxa"/>
            <w:tcBorders>
              <w:top w:val="nil"/>
              <w:left w:val="nil"/>
              <w:bottom w:val="single" w:color="auto" w:sz="4" w:space="0"/>
              <w:right w:val="single" w:color="auto" w:sz="4" w:space="0"/>
            </w:tcBorders>
            <w:shd w:val="clear" w:color="auto" w:fill="auto"/>
            <w:noWrap/>
            <w:vAlign w:val="center"/>
          </w:tcPr>
          <w:p w14:paraId="1FE16C17">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偏心半球阀</w:t>
            </w:r>
          </w:p>
        </w:tc>
        <w:tc>
          <w:tcPr>
            <w:tcW w:w="2273" w:type="dxa"/>
            <w:tcBorders>
              <w:top w:val="nil"/>
              <w:left w:val="nil"/>
              <w:bottom w:val="single" w:color="auto" w:sz="4" w:space="0"/>
              <w:right w:val="single" w:color="auto" w:sz="4" w:space="0"/>
            </w:tcBorders>
            <w:shd w:val="clear" w:color="auto" w:fill="auto"/>
            <w:vAlign w:val="center"/>
          </w:tcPr>
          <w:p w14:paraId="10FBD963">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xml:space="preserve"> DN=400，PN=0.6MPa</w:t>
            </w:r>
          </w:p>
        </w:tc>
        <w:tc>
          <w:tcPr>
            <w:tcW w:w="958" w:type="dxa"/>
            <w:tcBorders>
              <w:top w:val="nil"/>
              <w:left w:val="nil"/>
              <w:bottom w:val="single" w:color="auto" w:sz="4" w:space="0"/>
              <w:right w:val="single" w:color="auto" w:sz="4" w:space="0"/>
            </w:tcBorders>
            <w:shd w:val="clear" w:color="auto" w:fill="auto"/>
            <w:noWrap/>
            <w:vAlign w:val="center"/>
          </w:tcPr>
          <w:p w14:paraId="0650DE69">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79694F33">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10</w:t>
            </w:r>
          </w:p>
        </w:tc>
        <w:tc>
          <w:tcPr>
            <w:tcW w:w="946" w:type="dxa"/>
            <w:tcBorders>
              <w:top w:val="nil"/>
              <w:left w:val="nil"/>
              <w:bottom w:val="single" w:color="auto" w:sz="4" w:space="0"/>
              <w:right w:val="single" w:color="auto" w:sz="4" w:space="0"/>
            </w:tcBorders>
            <w:shd w:val="clear" w:color="000000" w:fill="FFFFFF"/>
            <w:noWrap/>
            <w:vAlign w:val="center"/>
          </w:tcPr>
          <w:p w14:paraId="4680A67A">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0A8A1C25">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714B22B1">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2C04FDFB">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9</w:t>
            </w:r>
          </w:p>
        </w:tc>
        <w:tc>
          <w:tcPr>
            <w:tcW w:w="1670" w:type="dxa"/>
            <w:tcBorders>
              <w:top w:val="nil"/>
              <w:left w:val="nil"/>
              <w:bottom w:val="single" w:color="auto" w:sz="4" w:space="0"/>
              <w:right w:val="single" w:color="auto" w:sz="4" w:space="0"/>
            </w:tcBorders>
            <w:shd w:val="clear" w:color="auto" w:fill="auto"/>
            <w:noWrap/>
            <w:vAlign w:val="center"/>
          </w:tcPr>
          <w:p w14:paraId="03A6B56E">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偏心半球阀</w:t>
            </w:r>
          </w:p>
        </w:tc>
        <w:tc>
          <w:tcPr>
            <w:tcW w:w="2273" w:type="dxa"/>
            <w:tcBorders>
              <w:top w:val="nil"/>
              <w:left w:val="nil"/>
              <w:bottom w:val="single" w:color="auto" w:sz="4" w:space="0"/>
              <w:right w:val="single" w:color="auto" w:sz="4" w:space="0"/>
            </w:tcBorders>
            <w:shd w:val="clear" w:color="auto" w:fill="auto"/>
            <w:vAlign w:val="center"/>
          </w:tcPr>
          <w:p w14:paraId="70B1A068">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xml:space="preserve"> DN=600,PN=0.6MPa</w:t>
            </w:r>
          </w:p>
        </w:tc>
        <w:tc>
          <w:tcPr>
            <w:tcW w:w="958" w:type="dxa"/>
            <w:tcBorders>
              <w:top w:val="nil"/>
              <w:left w:val="nil"/>
              <w:bottom w:val="single" w:color="auto" w:sz="4" w:space="0"/>
              <w:right w:val="single" w:color="auto" w:sz="4" w:space="0"/>
            </w:tcBorders>
            <w:shd w:val="clear" w:color="auto" w:fill="auto"/>
            <w:noWrap/>
            <w:vAlign w:val="center"/>
          </w:tcPr>
          <w:p w14:paraId="12E0F598">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3E952FB7">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w:t>
            </w:r>
          </w:p>
        </w:tc>
        <w:tc>
          <w:tcPr>
            <w:tcW w:w="946" w:type="dxa"/>
            <w:tcBorders>
              <w:top w:val="nil"/>
              <w:left w:val="nil"/>
              <w:bottom w:val="single" w:color="auto" w:sz="4" w:space="0"/>
              <w:right w:val="single" w:color="auto" w:sz="4" w:space="0"/>
            </w:tcBorders>
            <w:shd w:val="clear" w:color="000000" w:fill="FFFFFF"/>
            <w:noWrap/>
            <w:vAlign w:val="center"/>
          </w:tcPr>
          <w:p w14:paraId="6DD6C751">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4082879C">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1326684A">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399CFCFF">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10</w:t>
            </w:r>
          </w:p>
        </w:tc>
        <w:tc>
          <w:tcPr>
            <w:tcW w:w="1670" w:type="dxa"/>
            <w:tcBorders>
              <w:top w:val="nil"/>
              <w:left w:val="nil"/>
              <w:bottom w:val="single" w:color="auto" w:sz="4" w:space="0"/>
              <w:right w:val="single" w:color="auto" w:sz="4" w:space="0"/>
            </w:tcBorders>
            <w:shd w:val="clear" w:color="auto" w:fill="auto"/>
            <w:noWrap/>
            <w:vAlign w:val="center"/>
          </w:tcPr>
          <w:p w14:paraId="235B67D4">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xml:space="preserve">排水（泥）阀 </w:t>
            </w:r>
          </w:p>
        </w:tc>
        <w:tc>
          <w:tcPr>
            <w:tcW w:w="2273" w:type="dxa"/>
            <w:tcBorders>
              <w:top w:val="nil"/>
              <w:left w:val="nil"/>
              <w:bottom w:val="single" w:color="auto" w:sz="4" w:space="0"/>
              <w:right w:val="single" w:color="auto" w:sz="4" w:space="0"/>
            </w:tcBorders>
            <w:shd w:val="clear" w:color="auto" w:fill="auto"/>
            <w:vAlign w:val="center"/>
          </w:tcPr>
          <w:p w14:paraId="256E690E">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DN=600,PN=1.0MPa</w:t>
            </w:r>
          </w:p>
        </w:tc>
        <w:tc>
          <w:tcPr>
            <w:tcW w:w="958" w:type="dxa"/>
            <w:tcBorders>
              <w:top w:val="nil"/>
              <w:left w:val="nil"/>
              <w:bottom w:val="single" w:color="auto" w:sz="4" w:space="0"/>
              <w:right w:val="single" w:color="auto" w:sz="4" w:space="0"/>
            </w:tcBorders>
            <w:shd w:val="clear" w:color="auto" w:fill="auto"/>
            <w:noWrap/>
            <w:vAlign w:val="center"/>
          </w:tcPr>
          <w:p w14:paraId="440196B9">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13D11920">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10</w:t>
            </w:r>
          </w:p>
        </w:tc>
        <w:tc>
          <w:tcPr>
            <w:tcW w:w="946" w:type="dxa"/>
            <w:tcBorders>
              <w:top w:val="nil"/>
              <w:left w:val="nil"/>
              <w:bottom w:val="single" w:color="auto" w:sz="4" w:space="0"/>
              <w:right w:val="single" w:color="auto" w:sz="4" w:space="0"/>
            </w:tcBorders>
            <w:shd w:val="clear" w:color="000000" w:fill="FFFFFF"/>
            <w:noWrap/>
            <w:vAlign w:val="center"/>
          </w:tcPr>
          <w:p w14:paraId="10F3FEAB">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7AFCF72B">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41024298">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53C95FE3">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11</w:t>
            </w:r>
          </w:p>
        </w:tc>
        <w:tc>
          <w:tcPr>
            <w:tcW w:w="1670" w:type="dxa"/>
            <w:tcBorders>
              <w:top w:val="nil"/>
              <w:left w:val="nil"/>
              <w:bottom w:val="single" w:color="auto" w:sz="4" w:space="0"/>
              <w:right w:val="single" w:color="auto" w:sz="4" w:space="0"/>
            </w:tcBorders>
            <w:shd w:val="clear" w:color="auto" w:fill="auto"/>
            <w:noWrap/>
            <w:vAlign w:val="center"/>
          </w:tcPr>
          <w:p w14:paraId="1971BAE4">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复合式排气阀</w:t>
            </w:r>
          </w:p>
        </w:tc>
        <w:tc>
          <w:tcPr>
            <w:tcW w:w="2273" w:type="dxa"/>
            <w:tcBorders>
              <w:top w:val="nil"/>
              <w:left w:val="nil"/>
              <w:bottom w:val="single" w:color="auto" w:sz="4" w:space="0"/>
              <w:right w:val="single" w:color="auto" w:sz="4" w:space="0"/>
            </w:tcBorders>
            <w:shd w:val="clear" w:color="auto" w:fill="auto"/>
            <w:vAlign w:val="center"/>
          </w:tcPr>
          <w:p w14:paraId="63226B69">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DN=200,PN=1.0MPa</w:t>
            </w:r>
          </w:p>
        </w:tc>
        <w:tc>
          <w:tcPr>
            <w:tcW w:w="958" w:type="dxa"/>
            <w:tcBorders>
              <w:top w:val="nil"/>
              <w:left w:val="nil"/>
              <w:bottom w:val="single" w:color="auto" w:sz="4" w:space="0"/>
              <w:right w:val="single" w:color="auto" w:sz="4" w:space="0"/>
            </w:tcBorders>
            <w:shd w:val="clear" w:color="auto" w:fill="auto"/>
            <w:noWrap/>
            <w:vAlign w:val="center"/>
          </w:tcPr>
          <w:p w14:paraId="09002ED5">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01120D97">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147</w:t>
            </w:r>
          </w:p>
        </w:tc>
        <w:tc>
          <w:tcPr>
            <w:tcW w:w="946" w:type="dxa"/>
            <w:tcBorders>
              <w:top w:val="nil"/>
              <w:left w:val="nil"/>
              <w:bottom w:val="single" w:color="auto" w:sz="4" w:space="0"/>
              <w:right w:val="single" w:color="auto" w:sz="4" w:space="0"/>
            </w:tcBorders>
            <w:shd w:val="clear" w:color="000000" w:fill="FFFFFF"/>
            <w:noWrap/>
            <w:vAlign w:val="center"/>
          </w:tcPr>
          <w:p w14:paraId="2ECBAED3">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418423B3">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0A5FFE88">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0FDCB00C">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12</w:t>
            </w:r>
          </w:p>
        </w:tc>
        <w:tc>
          <w:tcPr>
            <w:tcW w:w="1670" w:type="dxa"/>
            <w:tcBorders>
              <w:top w:val="nil"/>
              <w:left w:val="nil"/>
              <w:bottom w:val="single" w:color="auto" w:sz="4" w:space="0"/>
              <w:right w:val="single" w:color="auto" w:sz="4" w:space="0"/>
            </w:tcBorders>
            <w:shd w:val="clear" w:color="auto" w:fill="auto"/>
            <w:noWrap/>
            <w:vAlign w:val="center"/>
          </w:tcPr>
          <w:p w14:paraId="59F4D969">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复合式排气阀</w:t>
            </w:r>
          </w:p>
        </w:tc>
        <w:tc>
          <w:tcPr>
            <w:tcW w:w="2273" w:type="dxa"/>
            <w:tcBorders>
              <w:top w:val="nil"/>
              <w:left w:val="nil"/>
              <w:bottom w:val="single" w:color="auto" w:sz="4" w:space="0"/>
              <w:right w:val="single" w:color="auto" w:sz="4" w:space="0"/>
            </w:tcBorders>
            <w:shd w:val="clear" w:color="auto" w:fill="auto"/>
            <w:vAlign w:val="center"/>
          </w:tcPr>
          <w:p w14:paraId="4CC70407">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DN=300,PN=1.0MPa</w:t>
            </w:r>
          </w:p>
        </w:tc>
        <w:tc>
          <w:tcPr>
            <w:tcW w:w="958" w:type="dxa"/>
            <w:tcBorders>
              <w:top w:val="nil"/>
              <w:left w:val="nil"/>
              <w:bottom w:val="single" w:color="auto" w:sz="4" w:space="0"/>
              <w:right w:val="single" w:color="auto" w:sz="4" w:space="0"/>
            </w:tcBorders>
            <w:shd w:val="clear" w:color="auto" w:fill="auto"/>
            <w:noWrap/>
            <w:vAlign w:val="center"/>
          </w:tcPr>
          <w:p w14:paraId="367796BF">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609BAD24">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4</w:t>
            </w:r>
          </w:p>
        </w:tc>
        <w:tc>
          <w:tcPr>
            <w:tcW w:w="946" w:type="dxa"/>
            <w:tcBorders>
              <w:top w:val="nil"/>
              <w:left w:val="nil"/>
              <w:bottom w:val="single" w:color="auto" w:sz="4" w:space="0"/>
              <w:right w:val="single" w:color="auto" w:sz="4" w:space="0"/>
            </w:tcBorders>
            <w:shd w:val="clear" w:color="000000" w:fill="FFFFFF"/>
            <w:noWrap/>
            <w:vAlign w:val="center"/>
          </w:tcPr>
          <w:p w14:paraId="65B486CE">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5A69B6D5">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5AAA7E4E">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43433E00">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13</w:t>
            </w:r>
          </w:p>
        </w:tc>
        <w:tc>
          <w:tcPr>
            <w:tcW w:w="1670" w:type="dxa"/>
            <w:tcBorders>
              <w:top w:val="nil"/>
              <w:left w:val="nil"/>
              <w:bottom w:val="single" w:color="auto" w:sz="4" w:space="0"/>
              <w:right w:val="single" w:color="auto" w:sz="4" w:space="0"/>
            </w:tcBorders>
            <w:shd w:val="clear" w:color="auto" w:fill="auto"/>
            <w:noWrap/>
            <w:vAlign w:val="center"/>
          </w:tcPr>
          <w:p w14:paraId="339FDF47">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复合式排气阀</w:t>
            </w:r>
          </w:p>
        </w:tc>
        <w:tc>
          <w:tcPr>
            <w:tcW w:w="2273" w:type="dxa"/>
            <w:tcBorders>
              <w:top w:val="nil"/>
              <w:left w:val="nil"/>
              <w:bottom w:val="single" w:color="auto" w:sz="4" w:space="0"/>
              <w:right w:val="single" w:color="auto" w:sz="4" w:space="0"/>
            </w:tcBorders>
            <w:shd w:val="clear" w:color="auto" w:fill="auto"/>
            <w:vAlign w:val="center"/>
          </w:tcPr>
          <w:p w14:paraId="364B1642">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xml:space="preserve"> DN=150,PN=1.0MPa</w:t>
            </w:r>
          </w:p>
        </w:tc>
        <w:tc>
          <w:tcPr>
            <w:tcW w:w="958" w:type="dxa"/>
            <w:tcBorders>
              <w:top w:val="nil"/>
              <w:left w:val="nil"/>
              <w:bottom w:val="single" w:color="auto" w:sz="4" w:space="0"/>
              <w:right w:val="single" w:color="auto" w:sz="4" w:space="0"/>
            </w:tcBorders>
            <w:shd w:val="clear" w:color="auto" w:fill="auto"/>
            <w:noWrap/>
            <w:vAlign w:val="center"/>
          </w:tcPr>
          <w:p w14:paraId="32B690F7">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39C0665D">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18</w:t>
            </w:r>
          </w:p>
        </w:tc>
        <w:tc>
          <w:tcPr>
            <w:tcW w:w="946" w:type="dxa"/>
            <w:tcBorders>
              <w:top w:val="nil"/>
              <w:left w:val="nil"/>
              <w:bottom w:val="single" w:color="auto" w:sz="4" w:space="0"/>
              <w:right w:val="single" w:color="auto" w:sz="4" w:space="0"/>
            </w:tcBorders>
            <w:shd w:val="clear" w:color="000000" w:fill="FFFFFF"/>
            <w:noWrap/>
            <w:vAlign w:val="center"/>
          </w:tcPr>
          <w:p w14:paraId="7D7C2182">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25321D41">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02A02D5F">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16C81930">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14</w:t>
            </w:r>
          </w:p>
        </w:tc>
        <w:tc>
          <w:tcPr>
            <w:tcW w:w="1670" w:type="dxa"/>
            <w:tcBorders>
              <w:top w:val="nil"/>
              <w:left w:val="nil"/>
              <w:bottom w:val="single" w:color="auto" w:sz="4" w:space="0"/>
              <w:right w:val="single" w:color="auto" w:sz="4" w:space="0"/>
            </w:tcBorders>
            <w:shd w:val="clear" w:color="auto" w:fill="auto"/>
            <w:noWrap/>
            <w:vAlign w:val="center"/>
          </w:tcPr>
          <w:p w14:paraId="574D81A1">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伸缩节</w:t>
            </w:r>
          </w:p>
        </w:tc>
        <w:tc>
          <w:tcPr>
            <w:tcW w:w="2273" w:type="dxa"/>
            <w:tcBorders>
              <w:top w:val="nil"/>
              <w:left w:val="nil"/>
              <w:bottom w:val="single" w:color="auto" w:sz="4" w:space="0"/>
              <w:right w:val="single" w:color="auto" w:sz="4" w:space="0"/>
            </w:tcBorders>
            <w:shd w:val="clear" w:color="auto" w:fill="auto"/>
            <w:vAlign w:val="center"/>
          </w:tcPr>
          <w:p w14:paraId="71631B2F">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xml:space="preserve"> C2F-10,DN=2800</w:t>
            </w:r>
          </w:p>
        </w:tc>
        <w:tc>
          <w:tcPr>
            <w:tcW w:w="958" w:type="dxa"/>
            <w:tcBorders>
              <w:top w:val="nil"/>
              <w:left w:val="nil"/>
              <w:bottom w:val="single" w:color="auto" w:sz="4" w:space="0"/>
              <w:right w:val="single" w:color="auto" w:sz="4" w:space="0"/>
            </w:tcBorders>
            <w:shd w:val="clear" w:color="auto" w:fill="auto"/>
            <w:noWrap/>
            <w:vAlign w:val="center"/>
          </w:tcPr>
          <w:p w14:paraId="4380A4BE">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170D1024">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34</w:t>
            </w:r>
          </w:p>
        </w:tc>
        <w:tc>
          <w:tcPr>
            <w:tcW w:w="946" w:type="dxa"/>
            <w:tcBorders>
              <w:top w:val="nil"/>
              <w:left w:val="nil"/>
              <w:bottom w:val="single" w:color="auto" w:sz="4" w:space="0"/>
              <w:right w:val="single" w:color="auto" w:sz="4" w:space="0"/>
            </w:tcBorders>
            <w:shd w:val="clear" w:color="000000" w:fill="FFFFFF"/>
            <w:noWrap/>
            <w:vAlign w:val="center"/>
          </w:tcPr>
          <w:p w14:paraId="5C2E02E9">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5782EB50">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2C7D097B">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03AB932B">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15</w:t>
            </w:r>
          </w:p>
        </w:tc>
        <w:tc>
          <w:tcPr>
            <w:tcW w:w="1670" w:type="dxa"/>
            <w:tcBorders>
              <w:top w:val="nil"/>
              <w:left w:val="nil"/>
              <w:bottom w:val="single" w:color="auto" w:sz="4" w:space="0"/>
              <w:right w:val="single" w:color="auto" w:sz="4" w:space="0"/>
            </w:tcBorders>
            <w:shd w:val="clear" w:color="auto" w:fill="auto"/>
            <w:noWrap/>
            <w:vAlign w:val="center"/>
          </w:tcPr>
          <w:p w14:paraId="22FD334C">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伸缩节</w:t>
            </w:r>
          </w:p>
        </w:tc>
        <w:tc>
          <w:tcPr>
            <w:tcW w:w="2273" w:type="dxa"/>
            <w:tcBorders>
              <w:top w:val="nil"/>
              <w:left w:val="nil"/>
              <w:bottom w:val="single" w:color="auto" w:sz="4" w:space="0"/>
              <w:right w:val="single" w:color="auto" w:sz="4" w:space="0"/>
            </w:tcBorders>
            <w:shd w:val="clear" w:color="auto" w:fill="auto"/>
            <w:vAlign w:val="center"/>
          </w:tcPr>
          <w:p w14:paraId="7A971FE4">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xml:space="preserve"> C2F-10,DN=1200</w:t>
            </w:r>
          </w:p>
        </w:tc>
        <w:tc>
          <w:tcPr>
            <w:tcW w:w="958" w:type="dxa"/>
            <w:tcBorders>
              <w:top w:val="nil"/>
              <w:left w:val="nil"/>
              <w:bottom w:val="single" w:color="auto" w:sz="4" w:space="0"/>
              <w:right w:val="single" w:color="auto" w:sz="4" w:space="0"/>
            </w:tcBorders>
            <w:shd w:val="clear" w:color="auto" w:fill="auto"/>
            <w:noWrap/>
            <w:vAlign w:val="center"/>
          </w:tcPr>
          <w:p w14:paraId="5CC5AD3F">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0CFE8A57">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4</w:t>
            </w:r>
          </w:p>
        </w:tc>
        <w:tc>
          <w:tcPr>
            <w:tcW w:w="946" w:type="dxa"/>
            <w:tcBorders>
              <w:top w:val="nil"/>
              <w:left w:val="nil"/>
              <w:bottom w:val="single" w:color="auto" w:sz="4" w:space="0"/>
              <w:right w:val="single" w:color="auto" w:sz="4" w:space="0"/>
            </w:tcBorders>
            <w:shd w:val="clear" w:color="000000" w:fill="FFFFFF"/>
            <w:noWrap/>
            <w:vAlign w:val="center"/>
          </w:tcPr>
          <w:p w14:paraId="7250B596">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7A7DB175">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5C71E550">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74DB8A6D">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16</w:t>
            </w:r>
          </w:p>
        </w:tc>
        <w:tc>
          <w:tcPr>
            <w:tcW w:w="1670" w:type="dxa"/>
            <w:tcBorders>
              <w:top w:val="nil"/>
              <w:left w:val="nil"/>
              <w:bottom w:val="single" w:color="auto" w:sz="4" w:space="0"/>
              <w:right w:val="single" w:color="auto" w:sz="4" w:space="0"/>
            </w:tcBorders>
            <w:shd w:val="clear" w:color="auto" w:fill="auto"/>
            <w:noWrap/>
            <w:vAlign w:val="center"/>
          </w:tcPr>
          <w:p w14:paraId="392A20E8">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伸缩节</w:t>
            </w:r>
          </w:p>
        </w:tc>
        <w:tc>
          <w:tcPr>
            <w:tcW w:w="2273" w:type="dxa"/>
            <w:tcBorders>
              <w:top w:val="nil"/>
              <w:left w:val="nil"/>
              <w:bottom w:val="single" w:color="auto" w:sz="4" w:space="0"/>
              <w:right w:val="single" w:color="auto" w:sz="4" w:space="0"/>
            </w:tcBorders>
            <w:shd w:val="clear" w:color="auto" w:fill="auto"/>
            <w:vAlign w:val="center"/>
          </w:tcPr>
          <w:p w14:paraId="19406EB3">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xml:space="preserve"> C2F-10,DN=600</w:t>
            </w:r>
          </w:p>
        </w:tc>
        <w:tc>
          <w:tcPr>
            <w:tcW w:w="958" w:type="dxa"/>
            <w:tcBorders>
              <w:top w:val="nil"/>
              <w:left w:val="nil"/>
              <w:bottom w:val="single" w:color="auto" w:sz="4" w:space="0"/>
              <w:right w:val="single" w:color="auto" w:sz="4" w:space="0"/>
            </w:tcBorders>
            <w:shd w:val="clear" w:color="auto" w:fill="auto"/>
            <w:noWrap/>
            <w:vAlign w:val="center"/>
          </w:tcPr>
          <w:p w14:paraId="0942B9BC">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1EC41360">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36</w:t>
            </w:r>
          </w:p>
        </w:tc>
        <w:tc>
          <w:tcPr>
            <w:tcW w:w="946" w:type="dxa"/>
            <w:tcBorders>
              <w:top w:val="nil"/>
              <w:left w:val="nil"/>
              <w:bottom w:val="single" w:color="auto" w:sz="4" w:space="0"/>
              <w:right w:val="single" w:color="auto" w:sz="4" w:space="0"/>
            </w:tcBorders>
            <w:shd w:val="clear" w:color="000000" w:fill="FFFFFF"/>
            <w:noWrap/>
            <w:vAlign w:val="center"/>
          </w:tcPr>
          <w:p w14:paraId="0DF37AE4">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281B038B">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06F46317">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4F0A10CF">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17</w:t>
            </w:r>
          </w:p>
        </w:tc>
        <w:tc>
          <w:tcPr>
            <w:tcW w:w="1670" w:type="dxa"/>
            <w:tcBorders>
              <w:top w:val="nil"/>
              <w:left w:val="nil"/>
              <w:bottom w:val="single" w:color="auto" w:sz="4" w:space="0"/>
              <w:right w:val="single" w:color="auto" w:sz="4" w:space="0"/>
            </w:tcBorders>
            <w:shd w:val="clear" w:color="auto" w:fill="auto"/>
            <w:noWrap/>
            <w:vAlign w:val="center"/>
          </w:tcPr>
          <w:p w14:paraId="465A6853">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伸缩节</w:t>
            </w:r>
          </w:p>
        </w:tc>
        <w:tc>
          <w:tcPr>
            <w:tcW w:w="2273" w:type="dxa"/>
            <w:tcBorders>
              <w:top w:val="nil"/>
              <w:left w:val="nil"/>
              <w:bottom w:val="single" w:color="auto" w:sz="4" w:space="0"/>
              <w:right w:val="single" w:color="auto" w:sz="4" w:space="0"/>
            </w:tcBorders>
            <w:shd w:val="clear" w:color="auto" w:fill="auto"/>
            <w:vAlign w:val="center"/>
          </w:tcPr>
          <w:p w14:paraId="648ADFC4">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xml:space="preserve"> C2F-6,DN=600</w:t>
            </w:r>
          </w:p>
        </w:tc>
        <w:tc>
          <w:tcPr>
            <w:tcW w:w="958" w:type="dxa"/>
            <w:tcBorders>
              <w:top w:val="nil"/>
              <w:left w:val="nil"/>
              <w:bottom w:val="single" w:color="auto" w:sz="4" w:space="0"/>
              <w:right w:val="single" w:color="auto" w:sz="4" w:space="0"/>
            </w:tcBorders>
            <w:shd w:val="clear" w:color="auto" w:fill="auto"/>
            <w:noWrap/>
            <w:vAlign w:val="center"/>
          </w:tcPr>
          <w:p w14:paraId="14940366">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51DB851C">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2</w:t>
            </w:r>
          </w:p>
        </w:tc>
        <w:tc>
          <w:tcPr>
            <w:tcW w:w="946" w:type="dxa"/>
            <w:tcBorders>
              <w:top w:val="nil"/>
              <w:left w:val="nil"/>
              <w:bottom w:val="single" w:color="auto" w:sz="4" w:space="0"/>
              <w:right w:val="single" w:color="auto" w:sz="4" w:space="0"/>
            </w:tcBorders>
            <w:shd w:val="clear" w:color="000000" w:fill="FFFFFF"/>
            <w:noWrap/>
            <w:vAlign w:val="center"/>
          </w:tcPr>
          <w:p w14:paraId="088DFD66">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535A5ADA">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5366A0E0">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1E55AE8D">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18</w:t>
            </w:r>
          </w:p>
        </w:tc>
        <w:tc>
          <w:tcPr>
            <w:tcW w:w="1670" w:type="dxa"/>
            <w:tcBorders>
              <w:top w:val="nil"/>
              <w:left w:val="nil"/>
              <w:bottom w:val="single" w:color="auto" w:sz="4" w:space="0"/>
              <w:right w:val="single" w:color="auto" w:sz="4" w:space="0"/>
            </w:tcBorders>
            <w:shd w:val="clear" w:color="auto" w:fill="auto"/>
            <w:noWrap/>
            <w:vAlign w:val="center"/>
          </w:tcPr>
          <w:p w14:paraId="418515BB">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伸缩节</w:t>
            </w:r>
          </w:p>
        </w:tc>
        <w:tc>
          <w:tcPr>
            <w:tcW w:w="2273" w:type="dxa"/>
            <w:tcBorders>
              <w:top w:val="nil"/>
              <w:left w:val="nil"/>
              <w:bottom w:val="single" w:color="auto" w:sz="4" w:space="0"/>
              <w:right w:val="single" w:color="auto" w:sz="4" w:space="0"/>
            </w:tcBorders>
            <w:shd w:val="clear" w:color="auto" w:fill="auto"/>
            <w:vAlign w:val="center"/>
          </w:tcPr>
          <w:p w14:paraId="4173009F">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xml:space="preserve"> C2F-10,DN=400</w:t>
            </w:r>
          </w:p>
        </w:tc>
        <w:tc>
          <w:tcPr>
            <w:tcW w:w="958" w:type="dxa"/>
            <w:tcBorders>
              <w:top w:val="nil"/>
              <w:left w:val="nil"/>
              <w:bottom w:val="single" w:color="auto" w:sz="4" w:space="0"/>
              <w:right w:val="single" w:color="auto" w:sz="4" w:space="0"/>
            </w:tcBorders>
            <w:shd w:val="clear" w:color="auto" w:fill="auto"/>
            <w:noWrap/>
            <w:vAlign w:val="center"/>
          </w:tcPr>
          <w:p w14:paraId="73010CA7">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62326365">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10</w:t>
            </w:r>
          </w:p>
        </w:tc>
        <w:tc>
          <w:tcPr>
            <w:tcW w:w="946" w:type="dxa"/>
            <w:tcBorders>
              <w:top w:val="nil"/>
              <w:left w:val="nil"/>
              <w:bottom w:val="single" w:color="auto" w:sz="4" w:space="0"/>
              <w:right w:val="single" w:color="auto" w:sz="4" w:space="0"/>
            </w:tcBorders>
            <w:shd w:val="clear" w:color="000000" w:fill="FFFFFF"/>
            <w:noWrap/>
            <w:vAlign w:val="center"/>
          </w:tcPr>
          <w:p w14:paraId="610A98DB">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0B9B7462">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r w14:paraId="783F713E">
        <w:tblPrEx>
          <w:tblCellMar>
            <w:top w:w="0" w:type="dxa"/>
            <w:left w:w="108" w:type="dxa"/>
            <w:bottom w:w="0" w:type="dxa"/>
            <w:right w:w="108" w:type="dxa"/>
          </w:tblCellMar>
        </w:tblPrEx>
        <w:trPr>
          <w:trHeight w:val="410"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14:paraId="3018B060">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19</w:t>
            </w:r>
          </w:p>
        </w:tc>
        <w:tc>
          <w:tcPr>
            <w:tcW w:w="1670" w:type="dxa"/>
            <w:tcBorders>
              <w:top w:val="nil"/>
              <w:left w:val="nil"/>
              <w:bottom w:val="single" w:color="auto" w:sz="4" w:space="0"/>
              <w:right w:val="single" w:color="auto" w:sz="4" w:space="0"/>
            </w:tcBorders>
            <w:shd w:val="clear" w:color="auto" w:fill="auto"/>
            <w:noWrap/>
            <w:vAlign w:val="center"/>
          </w:tcPr>
          <w:p w14:paraId="35131FD8">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伸缩节</w:t>
            </w:r>
          </w:p>
        </w:tc>
        <w:tc>
          <w:tcPr>
            <w:tcW w:w="2273" w:type="dxa"/>
            <w:tcBorders>
              <w:top w:val="nil"/>
              <w:left w:val="nil"/>
              <w:bottom w:val="single" w:color="auto" w:sz="4" w:space="0"/>
              <w:right w:val="single" w:color="auto" w:sz="4" w:space="0"/>
            </w:tcBorders>
            <w:shd w:val="clear" w:color="auto" w:fill="auto"/>
            <w:vAlign w:val="center"/>
          </w:tcPr>
          <w:p w14:paraId="20F85C34">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xml:space="preserve"> C2F-6,DN=400</w:t>
            </w:r>
          </w:p>
        </w:tc>
        <w:tc>
          <w:tcPr>
            <w:tcW w:w="958" w:type="dxa"/>
            <w:tcBorders>
              <w:top w:val="nil"/>
              <w:left w:val="nil"/>
              <w:bottom w:val="single" w:color="auto" w:sz="4" w:space="0"/>
              <w:right w:val="single" w:color="auto" w:sz="4" w:space="0"/>
            </w:tcBorders>
            <w:shd w:val="clear" w:color="auto" w:fill="auto"/>
            <w:noWrap/>
            <w:vAlign w:val="center"/>
          </w:tcPr>
          <w:p w14:paraId="2C2ACEFB">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个</w:t>
            </w:r>
          </w:p>
        </w:tc>
        <w:tc>
          <w:tcPr>
            <w:tcW w:w="969" w:type="dxa"/>
            <w:tcBorders>
              <w:top w:val="nil"/>
              <w:left w:val="nil"/>
              <w:bottom w:val="single" w:color="auto" w:sz="4" w:space="0"/>
              <w:right w:val="single" w:color="auto" w:sz="4" w:space="0"/>
            </w:tcBorders>
            <w:shd w:val="clear" w:color="auto" w:fill="auto"/>
            <w:noWrap/>
            <w:vAlign w:val="center"/>
          </w:tcPr>
          <w:p w14:paraId="571A9714">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1</w:t>
            </w:r>
          </w:p>
        </w:tc>
        <w:tc>
          <w:tcPr>
            <w:tcW w:w="946" w:type="dxa"/>
            <w:tcBorders>
              <w:top w:val="nil"/>
              <w:left w:val="nil"/>
              <w:bottom w:val="single" w:color="auto" w:sz="4" w:space="0"/>
              <w:right w:val="single" w:color="auto" w:sz="4" w:space="0"/>
            </w:tcBorders>
            <w:shd w:val="clear" w:color="000000" w:fill="FFFFFF"/>
            <w:noWrap/>
            <w:vAlign w:val="center"/>
          </w:tcPr>
          <w:p w14:paraId="177179F9">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c>
          <w:tcPr>
            <w:tcW w:w="1362" w:type="dxa"/>
            <w:tcBorders>
              <w:top w:val="nil"/>
              <w:left w:val="nil"/>
              <w:bottom w:val="single" w:color="auto" w:sz="4" w:space="0"/>
              <w:right w:val="single" w:color="auto" w:sz="4" w:space="0"/>
            </w:tcBorders>
            <w:shd w:val="clear" w:color="000000" w:fill="FFFFFF"/>
            <w:noWrap/>
            <w:vAlign w:val="center"/>
          </w:tcPr>
          <w:p w14:paraId="789CB020">
            <w:pPr>
              <w:widowControl/>
              <w:spacing w:line="240" w:lineRule="auto"/>
              <w:jc w:val="center"/>
              <w:rPr>
                <w:rFonts w:ascii="宋体" w:hAnsi="宋体" w:eastAsia="宋体" w:cs="宋体"/>
                <w:caps/>
                <w:color w:val="000000"/>
                <w:kern w:val="0"/>
                <w:sz w:val="21"/>
                <w:szCs w:val="21"/>
                <w:highlight w:val="none"/>
              </w:rPr>
            </w:pPr>
            <w:r>
              <w:rPr>
                <w:rFonts w:hint="eastAsia" w:ascii="宋体" w:hAnsi="宋体" w:eastAsia="宋体" w:cs="宋体"/>
                <w:caps/>
                <w:color w:val="000000"/>
                <w:kern w:val="0"/>
                <w:sz w:val="21"/>
                <w:szCs w:val="21"/>
                <w:highlight w:val="none"/>
              </w:rPr>
              <w:t>　</w:t>
            </w:r>
          </w:p>
        </w:tc>
      </w:tr>
    </w:tbl>
    <w:p w14:paraId="3A6FB824">
      <w:pPr>
        <w:pStyle w:val="22"/>
        <w:rPr>
          <w:rFonts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注：</w:t>
      </w:r>
    </w:p>
    <w:p w14:paraId="704A3D38">
      <w:pPr>
        <w:pStyle w:val="22"/>
        <w:numPr>
          <w:ilvl w:val="0"/>
          <w:numId w:val="10"/>
        </w:numPr>
        <w:spacing w:line="360" w:lineRule="auto"/>
        <w:ind w:left="482" w:hanging="480" w:hangingChars="200"/>
        <w:rPr>
          <w:rFonts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本项目实行固定单价合同方式，供货期限内单价不再调整，数量以实际供应结算。</w:t>
      </w:r>
    </w:p>
    <w:p w14:paraId="47097D88">
      <w:pPr>
        <w:pStyle w:val="50"/>
        <w:numPr>
          <w:ilvl w:val="0"/>
          <w:numId w:val="10"/>
        </w:numPr>
        <w:spacing w:line="360" w:lineRule="auto"/>
        <w:ind w:left="480" w:hanging="480" w:hangingChars="200"/>
        <w:rPr>
          <w:rFonts w:hint="eastAsia" w:ascii="宋体" w:hAnsi="宋体" w:cs="宋体"/>
          <w:caps/>
          <w:sz w:val="24"/>
          <w:szCs w:val="24"/>
          <w:highlight w:val="none"/>
        </w:rPr>
      </w:pPr>
      <w:r>
        <w:rPr>
          <w:rFonts w:hint="eastAsia" w:ascii="宋体" w:hAnsi="宋体" w:cs="宋体"/>
          <w:caps/>
          <w:sz w:val="24"/>
          <w:szCs w:val="24"/>
          <w:highlight w:val="none"/>
        </w:rPr>
        <w:t>单价已包含应由乙方承担的</w:t>
      </w:r>
      <w:r>
        <w:rPr>
          <w:rFonts w:hint="eastAsia" w:ascii="宋体" w:hAnsi="宋体" w:cs="宋体"/>
          <w:caps/>
          <w:sz w:val="24"/>
          <w:szCs w:val="24"/>
          <w:highlight w:val="none"/>
          <w:lang w:val="en-US" w:eastAsia="zh-CN"/>
        </w:rPr>
        <w:t>完成供货所需</w:t>
      </w:r>
      <w:r>
        <w:rPr>
          <w:rFonts w:hint="eastAsia" w:ascii="宋体" w:hAnsi="宋体" w:cs="宋体"/>
          <w:caps/>
          <w:sz w:val="24"/>
          <w:szCs w:val="24"/>
          <w:highlight w:val="none"/>
        </w:rPr>
        <w:t>的人工费、材料费、运输费、装卸费、设备使用费、利润、税金（13%）</w:t>
      </w:r>
      <w:r>
        <w:rPr>
          <w:rFonts w:hint="eastAsia" w:ascii="宋体" w:hAnsi="宋体" w:cs="宋体"/>
          <w:caps/>
          <w:sz w:val="24"/>
          <w:szCs w:val="24"/>
          <w:highlight w:val="none"/>
          <w:lang w:eastAsia="zh-CN"/>
        </w:rPr>
        <w:t>、</w:t>
      </w:r>
      <w:r>
        <w:rPr>
          <w:rFonts w:hint="eastAsia" w:ascii="宋体" w:hAnsi="宋体" w:cs="宋体"/>
          <w:caps/>
          <w:sz w:val="24"/>
          <w:szCs w:val="24"/>
          <w:highlight w:val="none"/>
          <w:lang w:val="en-US" w:eastAsia="zh-CN"/>
        </w:rPr>
        <w:t>电动阀配套的电动执行机构装置费等，</w:t>
      </w:r>
      <w:r>
        <w:rPr>
          <w:rFonts w:hint="eastAsia" w:ascii="宋体" w:hAnsi="宋体" w:cs="宋体"/>
          <w:caps/>
          <w:sz w:val="24"/>
          <w:szCs w:val="24"/>
          <w:highlight w:val="none"/>
        </w:rPr>
        <w:t>与供货有关的所有垃圾清运费、临时工程摊销、其他费用摊销等全部费用以及应由</w:t>
      </w:r>
      <w:r>
        <w:rPr>
          <w:rFonts w:hint="eastAsia" w:ascii="宋体" w:hAnsi="宋体" w:cs="宋体"/>
          <w:caps/>
          <w:sz w:val="24"/>
          <w:szCs w:val="24"/>
          <w:highlight w:val="none"/>
          <w:lang w:eastAsia="zh-CN"/>
        </w:rPr>
        <w:t>参选</w:t>
      </w:r>
      <w:r>
        <w:rPr>
          <w:rFonts w:hint="eastAsia" w:ascii="宋体" w:hAnsi="宋体" w:cs="宋体"/>
          <w:caps/>
          <w:sz w:val="24"/>
          <w:szCs w:val="24"/>
          <w:highlight w:val="none"/>
        </w:rPr>
        <w:t>人承担的风险（如运输安全、</w:t>
      </w:r>
      <w:r>
        <w:rPr>
          <w:rFonts w:hint="eastAsia" w:ascii="宋体" w:hAnsi="宋体" w:cs="宋体"/>
          <w:caps/>
          <w:sz w:val="24"/>
          <w:szCs w:val="24"/>
          <w:highlight w:val="none"/>
          <w:lang w:val="en-US" w:eastAsia="zh-CN"/>
        </w:rPr>
        <w:t>配件</w:t>
      </w:r>
      <w:r>
        <w:rPr>
          <w:rFonts w:hint="eastAsia" w:ascii="宋体" w:hAnsi="宋体" w:cs="宋体"/>
          <w:caps/>
          <w:sz w:val="24"/>
          <w:szCs w:val="24"/>
          <w:highlight w:val="none"/>
          <w:lang w:eastAsia="zh-CN"/>
        </w:rPr>
        <w:t>、</w:t>
      </w:r>
      <w:r>
        <w:rPr>
          <w:rFonts w:hint="eastAsia" w:ascii="宋体" w:hAnsi="宋体" w:cs="宋体"/>
          <w:caps/>
          <w:sz w:val="24"/>
          <w:szCs w:val="24"/>
          <w:highlight w:val="none"/>
        </w:rPr>
        <w:t>材料上涨等）、义务和责任所发生的一切费用。</w:t>
      </w:r>
    </w:p>
    <w:p w14:paraId="2FFD6B04">
      <w:pPr>
        <w:pStyle w:val="50"/>
        <w:numPr>
          <w:ilvl w:val="0"/>
          <w:numId w:val="10"/>
        </w:numPr>
        <w:spacing w:line="360" w:lineRule="auto"/>
        <w:ind w:left="480" w:hanging="480" w:hangingChars="200"/>
        <w:rPr>
          <w:rFonts w:ascii="宋体" w:hAnsi="宋体" w:cs="宋体"/>
          <w:caps/>
          <w:sz w:val="24"/>
          <w:szCs w:val="24"/>
          <w:highlight w:val="none"/>
        </w:rPr>
      </w:pPr>
      <w:r>
        <w:rPr>
          <w:rFonts w:hint="eastAsia" w:ascii="宋体" w:hAnsi="宋体" w:cs="宋体"/>
          <w:caps/>
          <w:sz w:val="24"/>
          <w:szCs w:val="24"/>
          <w:highlight w:val="none"/>
        </w:rPr>
        <w:t>所有阀门类报价已包含法兰、螺栓、螺母、垫片的价格；</w:t>
      </w:r>
    </w:p>
    <w:p w14:paraId="6A59B719">
      <w:pPr>
        <w:pStyle w:val="50"/>
        <w:numPr>
          <w:ilvl w:val="0"/>
          <w:numId w:val="10"/>
        </w:numPr>
        <w:spacing w:line="360" w:lineRule="auto"/>
        <w:ind w:left="480" w:hanging="480" w:hangingChars="200"/>
        <w:rPr>
          <w:rFonts w:ascii="宋体" w:hAnsi="宋体" w:cs="宋体"/>
          <w:caps/>
          <w:sz w:val="24"/>
          <w:szCs w:val="24"/>
          <w:highlight w:val="none"/>
        </w:rPr>
      </w:pPr>
      <w:r>
        <w:rPr>
          <w:rFonts w:hint="eastAsia" w:ascii="宋体" w:hAnsi="宋体" w:cs="宋体"/>
          <w:caps/>
          <w:sz w:val="24"/>
          <w:szCs w:val="24"/>
          <w:highlight w:val="none"/>
        </w:rPr>
        <w:t>设备的交货地点为</w:t>
      </w:r>
      <w:r>
        <w:rPr>
          <w:rFonts w:hint="eastAsia" w:ascii="宋体" w:hAnsi="宋体" w:cs="宋体"/>
          <w:caps/>
          <w:sz w:val="24"/>
          <w:szCs w:val="24"/>
          <w:highlight w:val="none"/>
          <w:lang w:val="en-US" w:eastAsia="zh-CN"/>
        </w:rPr>
        <w:t>采购人</w:t>
      </w:r>
      <w:r>
        <w:rPr>
          <w:rFonts w:hint="eastAsia" w:ascii="宋体" w:hAnsi="宋体" w:cs="宋体"/>
          <w:caps/>
          <w:sz w:val="24"/>
          <w:szCs w:val="24"/>
          <w:highlight w:val="none"/>
        </w:rPr>
        <w:t>指定场所，即以汽车运至指定场所（含卸车）；</w:t>
      </w:r>
    </w:p>
    <w:p w14:paraId="44B1AB60">
      <w:pPr>
        <w:pStyle w:val="50"/>
        <w:numPr>
          <w:ilvl w:val="0"/>
          <w:numId w:val="10"/>
        </w:numPr>
        <w:spacing w:line="360" w:lineRule="auto"/>
        <w:ind w:left="480" w:hanging="480" w:hangingChars="200"/>
        <w:rPr>
          <w:rFonts w:ascii="宋体" w:hAnsi="宋体" w:cs="宋体"/>
          <w:caps/>
          <w:sz w:val="24"/>
          <w:szCs w:val="24"/>
          <w:highlight w:val="none"/>
        </w:rPr>
      </w:pPr>
      <w:r>
        <w:rPr>
          <w:rFonts w:hint="eastAsia" w:ascii="宋体" w:hAnsi="宋体" w:cs="宋体"/>
          <w:caps/>
          <w:sz w:val="24"/>
          <w:szCs w:val="24"/>
          <w:highlight w:val="none"/>
        </w:rPr>
        <w:t>所有螺丝、螺母、螺栓、螺杆和有关管件的螺纹应使用GB或ISO标准；</w:t>
      </w:r>
    </w:p>
    <w:p w14:paraId="1F01BFE4">
      <w:pPr>
        <w:pStyle w:val="50"/>
        <w:numPr>
          <w:ilvl w:val="0"/>
          <w:numId w:val="10"/>
        </w:numPr>
        <w:spacing w:line="360" w:lineRule="auto"/>
        <w:ind w:left="480" w:hanging="480" w:hangingChars="200"/>
        <w:rPr>
          <w:rFonts w:ascii="宋体" w:hAnsi="宋体" w:cs="宋体"/>
          <w:caps/>
          <w:sz w:val="24"/>
          <w:szCs w:val="24"/>
          <w:highlight w:val="none"/>
        </w:rPr>
      </w:pPr>
      <w:r>
        <w:rPr>
          <w:rFonts w:hint="eastAsia" w:ascii="宋体" w:hAnsi="宋体" w:cs="宋体"/>
          <w:caps/>
          <w:sz w:val="24"/>
          <w:szCs w:val="24"/>
          <w:highlight w:val="none"/>
        </w:rPr>
        <w:t>蝶阀为双法兰连接、双偏心软密封结构，采用电手动操作，立式（或卧式）安装（以施工图为准）；</w:t>
      </w:r>
    </w:p>
    <w:p w14:paraId="6D05D5E9">
      <w:pPr>
        <w:pStyle w:val="50"/>
        <w:numPr>
          <w:ilvl w:val="0"/>
          <w:numId w:val="10"/>
        </w:numPr>
        <w:spacing w:line="360" w:lineRule="auto"/>
        <w:ind w:left="480" w:hanging="480" w:hangingChars="200"/>
        <w:rPr>
          <w:rFonts w:ascii="宋体" w:hAnsi="宋体" w:cs="宋体"/>
          <w:caps/>
          <w:sz w:val="24"/>
          <w:szCs w:val="24"/>
          <w:highlight w:val="none"/>
        </w:rPr>
      </w:pPr>
      <w:r>
        <w:rPr>
          <w:rFonts w:hint="eastAsia" w:ascii="宋体" w:hAnsi="宋体" w:cs="宋体"/>
          <w:caps/>
          <w:sz w:val="24"/>
          <w:szCs w:val="24"/>
          <w:highlight w:val="none"/>
        </w:rPr>
        <w:t>电动执行机构采用国际知名原装进口品牌，采用罗托克(ROTORK)、乔登（JORDAN）、瑞典RC（REMOTE CONTROL）品牌的产品，电动执行机构与齿轮箱必须同一品牌，并提供授权书和原产地证明。</w:t>
      </w:r>
      <w:r>
        <w:rPr>
          <w:sz w:val="24"/>
          <w:szCs w:val="24"/>
          <w:highlight w:val="none"/>
        </w:rPr>
        <w:t>履约期间，</w:t>
      </w:r>
      <w:r>
        <w:rPr>
          <w:rFonts w:hint="eastAsia"/>
          <w:sz w:val="24"/>
          <w:szCs w:val="24"/>
          <w:highlight w:val="none"/>
          <w:lang w:val="en-US" w:eastAsia="zh-CN"/>
        </w:rPr>
        <w:t>若业主</w:t>
      </w:r>
      <w:r>
        <w:rPr>
          <w:sz w:val="24"/>
          <w:szCs w:val="24"/>
          <w:highlight w:val="none"/>
        </w:rPr>
        <w:t>方因成本统筹</w:t>
      </w:r>
      <w:r>
        <w:rPr>
          <w:rFonts w:hint="eastAsia"/>
          <w:sz w:val="24"/>
          <w:szCs w:val="24"/>
          <w:highlight w:val="none"/>
          <w:lang w:eastAsia="zh-CN"/>
        </w:rPr>
        <w:t>、</w:t>
      </w:r>
      <w:r>
        <w:rPr>
          <w:rFonts w:hint="eastAsia"/>
          <w:sz w:val="24"/>
          <w:szCs w:val="24"/>
          <w:highlight w:val="none"/>
          <w:lang w:val="en-US" w:eastAsia="zh-CN"/>
        </w:rPr>
        <w:t>业务</w:t>
      </w:r>
      <w:r>
        <w:rPr>
          <w:sz w:val="24"/>
          <w:szCs w:val="24"/>
          <w:highlight w:val="none"/>
        </w:rPr>
        <w:t>需求</w:t>
      </w:r>
      <w:r>
        <w:rPr>
          <w:rFonts w:hint="eastAsia"/>
          <w:sz w:val="24"/>
          <w:szCs w:val="24"/>
          <w:highlight w:val="none"/>
          <w:lang w:val="en-US" w:eastAsia="zh-CN"/>
        </w:rPr>
        <w:t>要求</w:t>
      </w:r>
      <w:r>
        <w:rPr>
          <w:sz w:val="24"/>
          <w:szCs w:val="24"/>
          <w:highlight w:val="none"/>
        </w:rPr>
        <w:t>更换</w:t>
      </w:r>
      <w:r>
        <w:rPr>
          <w:rFonts w:hint="eastAsia"/>
          <w:sz w:val="24"/>
          <w:szCs w:val="24"/>
          <w:highlight w:val="none"/>
          <w:lang w:val="en-US" w:eastAsia="zh-CN"/>
        </w:rPr>
        <w:t>电动执行机构品牌的</w:t>
      </w:r>
      <w:r>
        <w:rPr>
          <w:sz w:val="24"/>
          <w:szCs w:val="24"/>
          <w:highlight w:val="none"/>
        </w:rPr>
        <w:t>，</w:t>
      </w:r>
      <w:r>
        <w:rPr>
          <w:rFonts w:hint="eastAsia"/>
          <w:sz w:val="24"/>
          <w:szCs w:val="24"/>
          <w:highlight w:val="none"/>
          <w:lang w:val="en-US" w:eastAsia="zh-CN"/>
        </w:rPr>
        <w:t>乙方应按要求无条件执行，</w:t>
      </w:r>
      <w:r>
        <w:rPr>
          <w:rFonts w:ascii="宋体" w:hAnsi="宋体" w:eastAsia="宋体" w:cs="宋体"/>
          <w:sz w:val="24"/>
          <w:szCs w:val="24"/>
          <w:highlight w:val="none"/>
        </w:rPr>
        <w:t>具体</w:t>
      </w:r>
      <w:r>
        <w:rPr>
          <w:rFonts w:hint="eastAsia" w:ascii="宋体" w:hAnsi="宋体" w:eastAsia="宋体" w:cs="宋体"/>
          <w:sz w:val="24"/>
          <w:szCs w:val="24"/>
          <w:highlight w:val="none"/>
          <w:lang w:val="en-US" w:eastAsia="zh-CN"/>
        </w:rPr>
        <w:t>调整</w:t>
      </w:r>
      <w:r>
        <w:rPr>
          <w:rFonts w:ascii="宋体" w:hAnsi="宋体" w:eastAsia="宋体" w:cs="宋体"/>
          <w:sz w:val="24"/>
          <w:szCs w:val="24"/>
          <w:highlight w:val="none"/>
        </w:rPr>
        <w:t>金额由双方</w:t>
      </w:r>
      <w:r>
        <w:rPr>
          <w:rFonts w:hint="eastAsia" w:ascii="宋体" w:hAnsi="宋体" w:eastAsia="宋体" w:cs="宋体"/>
          <w:sz w:val="24"/>
          <w:szCs w:val="24"/>
          <w:highlight w:val="none"/>
          <w:lang w:val="en-US" w:eastAsia="zh-CN"/>
        </w:rPr>
        <w:t>协商</w:t>
      </w:r>
      <w:r>
        <w:rPr>
          <w:rFonts w:ascii="宋体" w:hAnsi="宋体" w:eastAsia="宋体" w:cs="宋体"/>
          <w:sz w:val="24"/>
          <w:szCs w:val="24"/>
          <w:highlight w:val="none"/>
        </w:rPr>
        <w:t>确定</w:t>
      </w:r>
      <w:r>
        <w:rPr>
          <w:rFonts w:hint="eastAsia" w:ascii="宋体" w:hAnsi="宋体" w:eastAsia="宋体" w:cs="宋体"/>
          <w:sz w:val="24"/>
          <w:szCs w:val="24"/>
          <w:highlight w:val="none"/>
          <w:lang w:eastAsia="zh-CN"/>
        </w:rPr>
        <w:t>。</w:t>
      </w:r>
    </w:p>
    <w:p w14:paraId="45D39EF6">
      <w:pPr>
        <w:pStyle w:val="50"/>
        <w:numPr>
          <w:ilvl w:val="0"/>
          <w:numId w:val="10"/>
        </w:numPr>
        <w:spacing w:line="360" w:lineRule="auto"/>
        <w:ind w:left="480" w:hanging="480" w:hangingChars="200"/>
        <w:rPr>
          <w:rFonts w:ascii="宋体" w:hAnsi="宋体" w:cs="宋体"/>
          <w:caps/>
          <w:sz w:val="24"/>
          <w:szCs w:val="24"/>
          <w:highlight w:val="none"/>
        </w:rPr>
      </w:pPr>
      <w:r>
        <w:rPr>
          <w:rFonts w:hint="eastAsia" w:ascii="宋体" w:hAnsi="宋体" w:cs="宋体"/>
          <w:caps/>
          <w:sz w:val="24"/>
          <w:szCs w:val="24"/>
          <w:highlight w:val="none"/>
        </w:rPr>
        <w:t>实际制造、供货数量，按甲方出具的排产单，进行备料、制造、供货。</w:t>
      </w:r>
    </w:p>
    <w:p w14:paraId="5F809100">
      <w:pPr>
        <w:pStyle w:val="50"/>
        <w:numPr>
          <w:ilvl w:val="0"/>
          <w:numId w:val="10"/>
        </w:numPr>
        <w:spacing w:line="360" w:lineRule="auto"/>
        <w:ind w:left="480" w:hanging="480" w:hangingChars="200"/>
        <w:rPr>
          <w:rFonts w:hint="default" w:ascii="宋体" w:hAnsi="宋体" w:cs="宋体"/>
          <w:caps/>
          <w:sz w:val="24"/>
          <w:szCs w:val="24"/>
          <w:highlight w:val="none"/>
          <w:lang w:val="en-US" w:eastAsia="zh-CN"/>
        </w:rPr>
      </w:pPr>
      <w:r>
        <w:rPr>
          <w:rFonts w:hint="eastAsia" w:ascii="宋体" w:hAnsi="宋体" w:cs="宋体"/>
          <w:caps/>
          <w:sz w:val="24"/>
          <w:szCs w:val="24"/>
          <w:highlight w:val="none"/>
          <w:lang w:val="en-US" w:eastAsia="zh-CN"/>
        </w:rPr>
        <w:t>采购的产品应满足主合同“合同技术标准和要求”的相关规定。</w:t>
      </w:r>
    </w:p>
    <w:p w14:paraId="492C2CDC">
      <w:pPr>
        <w:widowControl/>
        <w:spacing w:line="360" w:lineRule="auto"/>
        <w:ind w:left="90"/>
        <w:rPr>
          <w:rFonts w:ascii="宋体" w:hAnsi="宋体" w:eastAsia="宋体" w:cs="宋体"/>
          <w:b/>
          <w:bCs/>
          <w:caps/>
          <w:kern w:val="0"/>
          <w:sz w:val="24"/>
          <w:szCs w:val="24"/>
          <w:highlight w:val="none"/>
        </w:rPr>
      </w:pPr>
      <w:r>
        <w:rPr>
          <w:rFonts w:hint="eastAsia" w:ascii="宋体" w:hAnsi="宋体" w:eastAsia="宋体" w:cs="宋体"/>
          <w:b/>
          <w:bCs/>
          <w:caps/>
          <w:kern w:val="0"/>
          <w:sz w:val="24"/>
          <w:szCs w:val="24"/>
          <w:highlight w:val="none"/>
        </w:rPr>
        <w:t>第三条 技术标准及要求</w:t>
      </w:r>
    </w:p>
    <w:p w14:paraId="0B433EE8">
      <w:pPr>
        <w:spacing w:line="560" w:lineRule="exact"/>
        <w:ind w:firstLine="480" w:firstLineChars="200"/>
        <w:rPr>
          <w:rFonts w:hint="eastAsia" w:ascii="宋体" w:hAnsi="宋体" w:eastAsia="宋体" w:cs="宋体"/>
          <w:caps/>
          <w:color w:val="auto"/>
          <w:sz w:val="24"/>
          <w:szCs w:val="24"/>
          <w:highlight w:val="none"/>
          <w:lang w:eastAsia="zh-CN"/>
        </w:rPr>
      </w:pPr>
      <w:r>
        <w:rPr>
          <w:rFonts w:hint="eastAsia" w:ascii="宋体" w:hAnsi="宋体" w:eastAsia="宋体" w:cs="宋体"/>
          <w:caps/>
          <w:color w:val="auto"/>
          <w:sz w:val="24"/>
          <w:szCs w:val="24"/>
          <w:highlight w:val="none"/>
        </w:rPr>
        <w:t>详见招标文件有关阀门及附属设备的技术规定</w:t>
      </w:r>
      <w:r>
        <w:rPr>
          <w:rFonts w:hint="eastAsia" w:ascii="宋体" w:hAnsi="宋体" w:eastAsia="宋体" w:cs="宋体"/>
          <w:caps/>
          <w:color w:val="auto"/>
          <w:sz w:val="24"/>
          <w:szCs w:val="24"/>
          <w:highlight w:val="none"/>
          <w:lang w:eastAsia="zh-CN"/>
        </w:rPr>
        <w:t>。</w:t>
      </w:r>
    </w:p>
    <w:p w14:paraId="3AA130A0">
      <w:pPr>
        <w:widowControl/>
        <w:spacing w:line="240" w:lineRule="auto"/>
        <w:ind w:firstLine="241" w:firstLineChars="100"/>
        <w:jc w:val="left"/>
        <w:rPr>
          <w:rFonts w:ascii="宋体" w:hAnsi="宋体" w:eastAsia="宋体" w:cs="宋体"/>
          <w:b/>
          <w:bCs/>
          <w:sz w:val="24"/>
          <w:szCs w:val="24"/>
          <w:highlight w:val="none"/>
        </w:rPr>
      </w:pPr>
      <w:r>
        <w:rPr>
          <w:rFonts w:hint="eastAsia" w:ascii="宋体" w:hAnsi="宋体" w:eastAsia="宋体" w:cs="宋体"/>
          <w:b/>
          <w:sz w:val="24"/>
          <w:szCs w:val="24"/>
          <w:highlight w:val="none"/>
        </w:rPr>
        <w:t>第四条  采购期限</w:t>
      </w:r>
    </w:p>
    <w:p w14:paraId="51315CDE">
      <w:pPr>
        <w:spacing w:line="5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本协议规定的采购期限：</w:t>
      </w:r>
      <w:r>
        <w:rPr>
          <w:rFonts w:hint="eastAsia" w:ascii="宋体" w:hAnsi="宋体" w:eastAsia="宋体" w:cs="宋体"/>
          <w:b/>
          <w:snapToGrid w:val="0"/>
          <w:kern w:val="0"/>
          <w:sz w:val="24"/>
          <w:szCs w:val="24"/>
          <w:highlight w:val="none"/>
          <w:u w:val="single"/>
        </w:rPr>
        <w:t>集中采购框架协议签订之日起至供货项目所需阀门类材料全部采购完成</w:t>
      </w:r>
      <w:r>
        <w:rPr>
          <w:rFonts w:hint="eastAsia" w:ascii="宋体" w:hAnsi="宋体" w:eastAsia="宋体" w:cs="宋体"/>
          <w:b/>
          <w:bCs/>
          <w:sz w:val="24"/>
          <w:szCs w:val="24"/>
          <w:highlight w:val="none"/>
          <w:u w:val="single"/>
        </w:rPr>
        <w:t>。</w:t>
      </w:r>
    </w:p>
    <w:p w14:paraId="57DE46AB">
      <w:pPr>
        <w:spacing w:line="560" w:lineRule="exact"/>
        <w:ind w:firstLine="241" w:firstLineChars="100"/>
        <w:rPr>
          <w:rFonts w:ascii="宋体" w:hAnsi="宋体" w:eastAsia="宋体" w:cs="宋体"/>
          <w:b/>
          <w:sz w:val="24"/>
          <w:szCs w:val="24"/>
          <w:highlight w:val="none"/>
        </w:rPr>
      </w:pPr>
      <w:r>
        <w:rPr>
          <w:rFonts w:hint="eastAsia" w:ascii="宋体" w:hAnsi="宋体" w:eastAsia="宋体" w:cs="宋体"/>
          <w:b/>
          <w:sz w:val="24"/>
          <w:szCs w:val="24"/>
          <w:highlight w:val="none"/>
        </w:rPr>
        <w:t>第五条  协议价格</w:t>
      </w:r>
    </w:p>
    <w:p w14:paraId="4C8C9A33">
      <w:pPr>
        <w:pStyle w:val="22"/>
        <w:rPr>
          <w:rFonts w:hint="eastAsia" w:ascii="宋体" w:hAnsi="宋体" w:cs="宋体"/>
          <w:b w:val="0"/>
          <w:bCs/>
          <w:color w:val="auto"/>
          <w:sz w:val="24"/>
          <w:szCs w:val="24"/>
          <w:highlight w:val="none"/>
        </w:rPr>
      </w:pPr>
      <w:r>
        <w:rPr>
          <w:rFonts w:hint="eastAsia" w:ascii="宋体" w:hAnsi="宋体" w:eastAsia="宋体" w:cs="宋体"/>
          <w:b w:val="0"/>
          <w:bCs/>
          <w:color w:val="auto"/>
          <w:sz w:val="24"/>
          <w:szCs w:val="24"/>
          <w:highlight w:val="none"/>
        </w:rPr>
        <w:t xml:space="preserve">   本协议</w:t>
      </w:r>
      <w:r>
        <w:rPr>
          <w:rFonts w:hint="eastAsia" w:asciiTheme="majorEastAsia" w:hAnsiTheme="majorEastAsia" w:eastAsiaTheme="majorEastAsia"/>
          <w:b w:val="0"/>
          <w:bCs/>
          <w:color w:val="auto"/>
          <w:sz w:val="24"/>
          <w:szCs w:val="24"/>
          <w:highlight w:val="none"/>
        </w:rPr>
        <w:t>采用固定单价合同，供货过程中不因主材（铸铁等）价格而调整。</w:t>
      </w:r>
      <w:r>
        <w:rPr>
          <w:rFonts w:hint="eastAsia" w:ascii="宋体" w:hAnsi="宋体" w:cs="宋体"/>
          <w:b w:val="0"/>
          <w:bCs/>
          <w:color w:val="auto"/>
          <w:sz w:val="24"/>
          <w:szCs w:val="24"/>
          <w:highlight w:val="none"/>
        </w:rPr>
        <w:t>单价已包含应由乙方承担的</w:t>
      </w:r>
      <w:r>
        <w:rPr>
          <w:rFonts w:hint="eastAsia" w:ascii="宋体" w:hAnsi="宋体" w:cs="宋体"/>
          <w:b w:val="0"/>
          <w:bCs/>
          <w:color w:val="auto"/>
          <w:sz w:val="24"/>
          <w:szCs w:val="24"/>
          <w:highlight w:val="none"/>
          <w:lang w:val="en-US" w:eastAsia="zh-CN"/>
        </w:rPr>
        <w:t>完成供货所需</w:t>
      </w:r>
      <w:r>
        <w:rPr>
          <w:rFonts w:hint="eastAsia" w:ascii="宋体" w:hAnsi="宋体" w:cs="宋体"/>
          <w:b w:val="0"/>
          <w:bCs/>
          <w:color w:val="auto"/>
          <w:sz w:val="24"/>
          <w:szCs w:val="24"/>
          <w:highlight w:val="none"/>
        </w:rPr>
        <w:t>的人工费、材料费、运输费、装卸费、设备使用费、利润、税金（1</w:t>
      </w:r>
      <w:r>
        <w:rPr>
          <w:rFonts w:ascii="宋体" w:hAnsi="宋体" w:cs="宋体"/>
          <w:b w:val="0"/>
          <w:bCs/>
          <w:color w:val="auto"/>
          <w:sz w:val="24"/>
          <w:szCs w:val="24"/>
          <w:highlight w:val="none"/>
        </w:rPr>
        <w:t>3</w:t>
      </w:r>
      <w:r>
        <w:rPr>
          <w:rFonts w:hint="eastAsia" w:ascii="宋体" w:hAnsi="宋体" w:cs="宋体"/>
          <w:b w:val="0"/>
          <w:bCs/>
          <w:color w:val="auto"/>
          <w:sz w:val="24"/>
          <w:szCs w:val="24"/>
          <w:highlight w:val="none"/>
        </w:rPr>
        <w:t>%）</w:t>
      </w: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电动阀配套的电动执行机构装置费等，</w:t>
      </w:r>
      <w:r>
        <w:rPr>
          <w:rFonts w:hint="eastAsia" w:ascii="宋体" w:hAnsi="宋体" w:cs="宋体"/>
          <w:b w:val="0"/>
          <w:bCs/>
          <w:color w:val="auto"/>
          <w:sz w:val="24"/>
          <w:szCs w:val="24"/>
          <w:highlight w:val="none"/>
        </w:rPr>
        <w:t>与供货有关的所有垃圾清运费、临时工程摊销、其他费用摊销等全部费用以及应由</w:t>
      </w:r>
      <w:r>
        <w:rPr>
          <w:rFonts w:hint="eastAsia" w:ascii="宋体" w:hAnsi="宋体" w:cs="宋体"/>
          <w:b w:val="0"/>
          <w:bCs/>
          <w:color w:val="auto"/>
          <w:sz w:val="24"/>
          <w:szCs w:val="24"/>
          <w:highlight w:val="none"/>
          <w:lang w:eastAsia="zh-CN"/>
        </w:rPr>
        <w:t>参选</w:t>
      </w:r>
      <w:r>
        <w:rPr>
          <w:rFonts w:hint="eastAsia" w:ascii="宋体" w:hAnsi="宋体" w:cs="宋体"/>
          <w:b w:val="0"/>
          <w:bCs/>
          <w:color w:val="auto"/>
          <w:sz w:val="24"/>
          <w:szCs w:val="24"/>
          <w:highlight w:val="none"/>
        </w:rPr>
        <w:t>人承担的风险（如运输安全、</w:t>
      </w:r>
      <w:r>
        <w:rPr>
          <w:rFonts w:hint="eastAsia" w:ascii="宋体" w:hAnsi="宋体" w:cs="宋体"/>
          <w:b w:val="0"/>
          <w:bCs/>
          <w:color w:val="auto"/>
          <w:sz w:val="24"/>
          <w:szCs w:val="24"/>
          <w:highlight w:val="none"/>
          <w:lang w:val="en-US" w:eastAsia="zh-CN"/>
        </w:rPr>
        <w:t>配件</w:t>
      </w: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rPr>
        <w:t>材料上涨等）、义务和责任所发生的一切费用。</w:t>
      </w:r>
    </w:p>
    <w:p w14:paraId="4C9A41C0">
      <w:pPr>
        <w:pStyle w:val="22"/>
        <w:rPr>
          <w:rFonts w:ascii="宋体" w:hAnsi="宋体" w:eastAsia="宋体" w:cs="Times New Roman"/>
          <w:b/>
          <w:sz w:val="24"/>
          <w:szCs w:val="24"/>
          <w:highlight w:val="none"/>
        </w:rPr>
      </w:pPr>
      <w:r>
        <w:rPr>
          <w:rFonts w:hint="eastAsia" w:ascii="宋体" w:hAnsi="宋体" w:eastAsia="宋体" w:cs="Times New Roman"/>
          <w:b/>
          <w:sz w:val="24"/>
          <w:szCs w:val="24"/>
          <w:highlight w:val="none"/>
        </w:rPr>
        <w:t>第六条  交货数量、地点和方式</w:t>
      </w:r>
    </w:p>
    <w:p w14:paraId="7716FF2F">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采用现场交货方式，具体交货数量、地点由采购人与乙方通过供货合同、采购订单方式确定。</w:t>
      </w:r>
    </w:p>
    <w:p w14:paraId="71F6DD0C">
      <w:pPr>
        <w:spacing w:line="560" w:lineRule="exact"/>
        <w:ind w:firstLine="482" w:firstLineChars="200"/>
        <w:rPr>
          <w:rFonts w:ascii="宋体" w:hAnsi="宋体" w:eastAsia="宋体" w:cs="Times New Roman"/>
          <w:b/>
          <w:sz w:val="24"/>
          <w:szCs w:val="24"/>
          <w:highlight w:val="none"/>
        </w:rPr>
      </w:pPr>
      <w:r>
        <w:rPr>
          <w:rFonts w:hint="eastAsia" w:ascii="宋体" w:hAnsi="宋体" w:eastAsia="宋体" w:cs="Times New Roman"/>
          <w:b/>
          <w:sz w:val="24"/>
          <w:szCs w:val="24"/>
          <w:highlight w:val="none"/>
        </w:rPr>
        <w:t>第七条  权利瑕疵担保</w:t>
      </w:r>
    </w:p>
    <w:p w14:paraId="1C7EEAC2">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1．乙方保证对其出售的货物享有合法的权利，不存在任何担保物权，如抵押权、留置权等。</w:t>
      </w:r>
    </w:p>
    <w:p w14:paraId="613CFD44">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2．乙方保证在其出售的货物没有侵犯任何第三方的知识产权和商业秘密等权利。</w:t>
      </w:r>
    </w:p>
    <w:p w14:paraId="2A70F5C4">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3．如采购人使用该货物构成上述侵权的，则由乙方承担全部责任。</w:t>
      </w:r>
    </w:p>
    <w:p w14:paraId="0FD60A51">
      <w:pPr>
        <w:spacing w:line="560" w:lineRule="exact"/>
        <w:ind w:firstLine="482" w:firstLineChars="200"/>
        <w:rPr>
          <w:rFonts w:ascii="宋体" w:hAnsi="宋体" w:eastAsia="宋体" w:cs="Times New Roman"/>
          <w:b/>
          <w:sz w:val="24"/>
          <w:szCs w:val="24"/>
          <w:highlight w:val="none"/>
        </w:rPr>
      </w:pPr>
      <w:r>
        <w:rPr>
          <w:rFonts w:hint="eastAsia" w:ascii="宋体" w:hAnsi="宋体" w:eastAsia="宋体" w:cs="Times New Roman"/>
          <w:b/>
          <w:sz w:val="24"/>
          <w:szCs w:val="24"/>
          <w:highlight w:val="none"/>
        </w:rPr>
        <w:t>第八条  履约保证金</w:t>
      </w:r>
    </w:p>
    <w:p w14:paraId="6F1318BE">
      <w:pPr>
        <w:ind w:firstLine="480" w:firstLineChars="200"/>
        <w:rPr>
          <w:rFonts w:ascii="宋体" w:hAnsi="宋体" w:cs="宋体"/>
          <w:sz w:val="24"/>
          <w:szCs w:val="24"/>
          <w:highlight w:val="none"/>
        </w:rPr>
      </w:pPr>
      <w:r>
        <w:rPr>
          <w:rFonts w:hint="eastAsia" w:ascii="宋体" w:hAnsi="宋体" w:cs="宋体"/>
          <w:sz w:val="24"/>
          <w:szCs w:val="24"/>
          <w:highlight w:val="none"/>
        </w:rPr>
        <w:t>履约担保：</w:t>
      </w:r>
      <w:r>
        <w:rPr>
          <w:rFonts w:hint="eastAsia" w:ascii="宋体" w:hAnsi="宋体" w:cs="宋体"/>
          <w:b/>
          <w:bCs/>
          <w:sz w:val="24"/>
          <w:szCs w:val="24"/>
          <w:highlight w:val="none"/>
          <w:u w:val="single"/>
        </w:rPr>
        <w:t>采用银行汇款或银行履约保函，</w:t>
      </w:r>
      <w:r>
        <w:rPr>
          <w:rFonts w:hint="eastAsia" w:ascii="宋体" w:hAnsi="宋体" w:cs="宋体"/>
          <w:b/>
          <w:bCs/>
          <w:color w:val="auto"/>
          <w:sz w:val="24"/>
          <w:szCs w:val="24"/>
          <w:highlight w:val="none"/>
          <w:u w:val="single"/>
        </w:rPr>
        <w:t>人民币壹佰万元整。</w:t>
      </w:r>
      <w:r>
        <w:rPr>
          <w:rFonts w:hint="eastAsia" w:ascii="宋体" w:hAnsi="宋体" w:cs="宋体"/>
          <w:color w:val="auto"/>
          <w:sz w:val="24"/>
          <w:szCs w:val="24"/>
          <w:highlight w:val="none"/>
        </w:rPr>
        <w:t>中</w:t>
      </w:r>
      <w:r>
        <w:rPr>
          <w:rFonts w:hint="eastAsia" w:ascii="宋体" w:hAnsi="宋体" w:cs="宋体"/>
          <w:sz w:val="24"/>
          <w:szCs w:val="24"/>
          <w:highlight w:val="none"/>
        </w:rPr>
        <w:t>选后，</w:t>
      </w:r>
      <w:r>
        <w:rPr>
          <w:rFonts w:hint="eastAsia" w:ascii="宋体" w:hAnsi="宋体" w:cs="宋体"/>
          <w:sz w:val="24"/>
          <w:szCs w:val="24"/>
          <w:highlight w:val="none"/>
          <w:lang w:val="en-US" w:eastAsia="zh-CN"/>
        </w:rPr>
        <w:t>乙方</w:t>
      </w:r>
      <w:r>
        <w:rPr>
          <w:rFonts w:hint="eastAsia" w:ascii="宋体" w:hAnsi="宋体" w:cs="宋体"/>
          <w:sz w:val="24"/>
          <w:szCs w:val="24"/>
          <w:highlight w:val="none"/>
        </w:rPr>
        <w:t>投标保证金可直接转为履约保证金，不足部份在</w:t>
      </w:r>
      <w:r>
        <w:rPr>
          <w:rFonts w:hint="eastAsia" w:ascii="宋体" w:hAnsi="宋体" w:cs="宋体"/>
          <w:sz w:val="24"/>
          <w:szCs w:val="24"/>
          <w:highlight w:val="none"/>
          <w:lang w:val="en-US" w:eastAsia="zh-CN"/>
        </w:rPr>
        <w:t>乙方</w:t>
      </w:r>
      <w:r>
        <w:rPr>
          <w:rFonts w:hint="eastAsia" w:ascii="宋体" w:hAnsi="宋体" w:cs="宋体"/>
          <w:sz w:val="24"/>
          <w:szCs w:val="24"/>
          <w:highlight w:val="none"/>
        </w:rPr>
        <w:t>接到</w:t>
      </w:r>
      <w:r>
        <w:rPr>
          <w:rFonts w:hint="eastAsia" w:ascii="宋体" w:hAnsi="宋体" w:cs="宋体"/>
          <w:sz w:val="24"/>
          <w:szCs w:val="24"/>
          <w:highlight w:val="none"/>
          <w:lang w:val="en-US" w:eastAsia="zh-CN"/>
        </w:rPr>
        <w:t>甲方</w:t>
      </w:r>
      <w:r>
        <w:rPr>
          <w:rFonts w:hint="eastAsia" w:ascii="宋体" w:hAnsi="宋体" w:cs="宋体"/>
          <w:sz w:val="24"/>
          <w:szCs w:val="24"/>
          <w:highlight w:val="none"/>
        </w:rPr>
        <w:t>发出的成交通知书后</w:t>
      </w:r>
      <w:r>
        <w:rPr>
          <w:rFonts w:ascii="宋体" w:hAnsi="宋体" w:cs="宋体"/>
          <w:sz w:val="24"/>
          <w:szCs w:val="24"/>
          <w:highlight w:val="none"/>
        </w:rPr>
        <w:t>7</w:t>
      </w:r>
      <w:r>
        <w:rPr>
          <w:rFonts w:hint="eastAsia" w:ascii="宋体" w:hAnsi="宋体" w:cs="宋体"/>
          <w:sz w:val="24"/>
          <w:szCs w:val="24"/>
          <w:highlight w:val="none"/>
        </w:rPr>
        <w:t>天内转账至指定账户。</w:t>
      </w:r>
    </w:p>
    <w:p w14:paraId="786260F1">
      <w:pPr>
        <w:ind w:firstLine="480" w:firstLineChars="200"/>
        <w:rPr>
          <w:rFonts w:ascii="宋体" w:hAnsi="宋体" w:cs="宋体"/>
          <w:sz w:val="24"/>
          <w:szCs w:val="24"/>
          <w:highlight w:val="none"/>
        </w:rPr>
      </w:pPr>
      <w:r>
        <w:rPr>
          <w:rFonts w:hint="eastAsia" w:ascii="宋体" w:hAnsi="宋体" w:cs="宋体"/>
          <w:sz w:val="24"/>
          <w:szCs w:val="24"/>
          <w:highlight w:val="none"/>
        </w:rPr>
        <w:t>乙方应保证产品质量满足设计、</w:t>
      </w:r>
      <w:r>
        <w:rPr>
          <w:rFonts w:hint="eastAsia" w:ascii="宋体" w:hAnsi="宋体" w:cs="宋体"/>
          <w:sz w:val="24"/>
          <w:szCs w:val="24"/>
          <w:highlight w:val="none"/>
          <w:lang w:val="en-US" w:eastAsia="zh-CN"/>
        </w:rPr>
        <w:t>采购人</w:t>
      </w:r>
      <w:r>
        <w:rPr>
          <w:rFonts w:hint="eastAsia" w:ascii="宋体" w:hAnsi="宋体" w:cs="宋体"/>
          <w:sz w:val="24"/>
          <w:szCs w:val="24"/>
          <w:highlight w:val="none"/>
        </w:rPr>
        <w:t>和建设单位的要求，若因产品质量造成甲方、采购人及第三方责任的经济损失，没收履约保证金并由</w:t>
      </w:r>
      <w:r>
        <w:rPr>
          <w:rFonts w:hint="eastAsia" w:ascii="宋体" w:hAnsi="宋体" w:cs="宋体"/>
          <w:sz w:val="24"/>
          <w:szCs w:val="24"/>
          <w:highlight w:val="none"/>
          <w:lang w:val="en-US" w:eastAsia="zh-CN"/>
        </w:rPr>
        <w:t>乙方</w:t>
      </w:r>
      <w:r>
        <w:rPr>
          <w:rFonts w:hint="eastAsia" w:ascii="宋体" w:hAnsi="宋体" w:cs="宋体"/>
          <w:sz w:val="24"/>
          <w:szCs w:val="24"/>
          <w:highlight w:val="none"/>
        </w:rPr>
        <w:t>承担赔偿。</w:t>
      </w:r>
    </w:p>
    <w:p w14:paraId="0D75B468">
      <w:pPr>
        <w:overflowPunct w:val="0"/>
        <w:autoSpaceDE w:val="0"/>
        <w:autoSpaceDN w:val="0"/>
        <w:adjustRightIn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履约保证金退还：在供货产品未出现任何质量问题下，按采购期限最终截止日后的</w:t>
      </w:r>
      <w:r>
        <w:rPr>
          <w:rFonts w:ascii="宋体" w:hAnsi="宋体" w:cs="宋体"/>
          <w:sz w:val="24"/>
          <w:szCs w:val="24"/>
          <w:highlight w:val="none"/>
        </w:rPr>
        <w:t>90</w:t>
      </w:r>
      <w:r>
        <w:rPr>
          <w:rFonts w:hint="eastAsia" w:ascii="宋体" w:hAnsi="宋体" w:cs="宋体"/>
          <w:sz w:val="24"/>
          <w:szCs w:val="24"/>
          <w:highlight w:val="none"/>
        </w:rPr>
        <w:t>天内，无息退款。</w:t>
      </w:r>
    </w:p>
    <w:p w14:paraId="5D50194A">
      <w:pPr>
        <w:spacing w:line="560" w:lineRule="exact"/>
        <w:ind w:firstLine="482" w:firstLineChars="200"/>
        <w:rPr>
          <w:rFonts w:ascii="宋体" w:hAnsi="宋体" w:eastAsia="宋体" w:cs="Times New Roman"/>
          <w:b/>
          <w:sz w:val="24"/>
          <w:szCs w:val="24"/>
          <w:highlight w:val="none"/>
        </w:rPr>
      </w:pPr>
      <w:r>
        <w:rPr>
          <w:rFonts w:hint="eastAsia" w:ascii="宋体" w:hAnsi="宋体" w:eastAsia="宋体" w:cs="Times New Roman"/>
          <w:b/>
          <w:sz w:val="24"/>
          <w:szCs w:val="24"/>
          <w:highlight w:val="none"/>
        </w:rPr>
        <w:t>第九条  价款支付</w:t>
      </w:r>
    </w:p>
    <w:p w14:paraId="318E7DC3">
      <w:pPr>
        <w:overflowPunct w:val="0"/>
        <w:autoSpaceDE w:val="0"/>
        <w:autoSpaceDN w:val="0"/>
        <w:adjustRightInd w:val="0"/>
        <w:spacing w:line="360" w:lineRule="auto"/>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rPr>
        <w:t>1</w:t>
      </w:r>
      <w:r>
        <w:rPr>
          <w:rFonts w:hint="eastAsia" w:ascii="宋体" w:hAnsi="宋体" w:cs="宋体"/>
          <w:sz w:val="24"/>
          <w:szCs w:val="24"/>
          <w:highlight w:val="none"/>
          <w:lang w:val="en-US" w:eastAsia="zh-CN"/>
        </w:rPr>
        <w:t>.预付款按每批次供货清单总额的20%支付，货物交付并经采购人验收合格30日内，采用金融票据支付至90%;工程整体完工验收合格后30日内或工程通水后180日，支付至95%;剩余5%作为质保金。</w:t>
      </w:r>
    </w:p>
    <w:p w14:paraId="2BCAECE9">
      <w:pPr>
        <w:overflowPunct w:val="0"/>
        <w:autoSpaceDE w:val="0"/>
        <w:autoSpaceDN w:val="0"/>
        <w:adjustRightInd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2.乙方同意</w:t>
      </w:r>
      <w:r>
        <w:rPr>
          <w:rFonts w:hint="eastAsia" w:ascii="宋体" w:hAnsi="宋体" w:cs="宋体"/>
          <w:sz w:val="24"/>
          <w:szCs w:val="24"/>
          <w:highlight w:val="none"/>
        </w:rPr>
        <w:t>接受</w:t>
      </w:r>
      <w:r>
        <w:rPr>
          <w:rFonts w:hint="eastAsia" w:ascii="宋体" w:hAnsi="宋体" w:cs="宋体"/>
          <w:sz w:val="24"/>
          <w:szCs w:val="24"/>
          <w:highlight w:val="none"/>
          <w:lang w:val="en-US" w:eastAsia="zh-CN"/>
        </w:rPr>
        <w:t>采购人</w:t>
      </w:r>
      <w:r>
        <w:rPr>
          <w:rFonts w:hint="eastAsia" w:ascii="宋体" w:hAnsi="宋体" w:cs="宋体"/>
          <w:sz w:val="24"/>
          <w:szCs w:val="24"/>
          <w:highlight w:val="none"/>
        </w:rPr>
        <w:t>采用现金和银行金融票据进行支付，</w:t>
      </w:r>
      <w:r>
        <w:rPr>
          <w:rFonts w:hint="eastAsia" w:ascii="宋体" w:hAnsi="宋体" w:cs="宋体"/>
          <w:sz w:val="24"/>
          <w:szCs w:val="24"/>
          <w:highlight w:val="none"/>
          <w:lang w:val="en-US" w:eastAsia="zh-CN"/>
        </w:rPr>
        <w:t>银行金融票据占比不低于</w:t>
      </w:r>
      <w:r>
        <w:rPr>
          <w:rFonts w:hint="eastAsia" w:ascii="宋体" w:hAnsi="宋体" w:cs="宋体"/>
          <w:sz w:val="24"/>
          <w:szCs w:val="24"/>
          <w:highlight w:val="none"/>
        </w:rPr>
        <w:t>50%</w:t>
      </w:r>
      <w:r>
        <w:rPr>
          <w:rFonts w:hint="eastAsia" w:ascii="宋体" w:hAnsi="宋体" w:cs="宋体"/>
          <w:sz w:val="24"/>
          <w:szCs w:val="24"/>
          <w:highlight w:val="none"/>
          <w:lang w:eastAsia="zh-CN"/>
        </w:rPr>
        <w:t>，</w:t>
      </w:r>
      <w:r>
        <w:rPr>
          <w:rFonts w:hint="eastAsia" w:ascii="宋体" w:hAnsi="宋体" w:cs="宋体"/>
          <w:sz w:val="24"/>
          <w:szCs w:val="24"/>
          <w:highlight w:val="none"/>
        </w:rPr>
        <w:t>期限为6个月</w:t>
      </w:r>
      <w:r>
        <w:rPr>
          <w:rFonts w:hint="eastAsia" w:ascii="宋体" w:hAnsi="宋体" w:cs="宋体"/>
          <w:sz w:val="24"/>
          <w:szCs w:val="24"/>
          <w:highlight w:val="none"/>
          <w:lang w:eastAsia="zh-CN"/>
        </w:rPr>
        <w:t>，</w:t>
      </w:r>
      <w:r>
        <w:rPr>
          <w:rFonts w:hint="eastAsia" w:ascii="宋体" w:hAnsi="宋体" w:cs="宋体"/>
          <w:sz w:val="24"/>
          <w:szCs w:val="24"/>
          <w:highlight w:val="none"/>
        </w:rPr>
        <w:t>贴息费</w:t>
      </w:r>
      <w:r>
        <w:rPr>
          <w:rFonts w:hint="eastAsia" w:ascii="宋体" w:hAnsi="宋体" w:cs="宋体"/>
          <w:sz w:val="24"/>
          <w:szCs w:val="24"/>
          <w:highlight w:val="none"/>
          <w:lang w:val="en-US" w:eastAsia="zh-CN"/>
        </w:rPr>
        <w:t>用</w:t>
      </w:r>
      <w:r>
        <w:rPr>
          <w:rFonts w:hint="eastAsia" w:ascii="宋体" w:hAnsi="宋体" w:cs="宋体"/>
          <w:sz w:val="24"/>
          <w:szCs w:val="24"/>
          <w:highlight w:val="none"/>
        </w:rPr>
        <w:t>由中</w:t>
      </w:r>
      <w:r>
        <w:rPr>
          <w:rFonts w:hint="eastAsia" w:ascii="宋体" w:hAnsi="宋体" w:cs="宋体"/>
          <w:sz w:val="24"/>
          <w:szCs w:val="24"/>
          <w:highlight w:val="none"/>
          <w:lang w:val="en-US" w:eastAsia="zh-CN"/>
        </w:rPr>
        <w:t>选</w:t>
      </w:r>
      <w:r>
        <w:rPr>
          <w:rFonts w:hint="eastAsia" w:ascii="宋体" w:hAnsi="宋体" w:cs="宋体"/>
          <w:sz w:val="24"/>
          <w:szCs w:val="24"/>
          <w:highlight w:val="none"/>
        </w:rPr>
        <w:t>人承担。</w:t>
      </w:r>
    </w:p>
    <w:p w14:paraId="65CD2793">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lang w:val="en-US" w:eastAsia="zh-CN"/>
        </w:rPr>
        <w:t>3.</w:t>
      </w:r>
      <w:r>
        <w:rPr>
          <w:rFonts w:hint="eastAsia" w:ascii="宋体" w:hAnsi="宋体" w:cs="宋体"/>
          <w:sz w:val="24"/>
          <w:szCs w:val="24"/>
          <w:highlight w:val="none"/>
        </w:rPr>
        <w:t>货款直接支付至供货合同约定的乙方账户。</w:t>
      </w:r>
    </w:p>
    <w:p w14:paraId="468B2337">
      <w:pPr>
        <w:spacing w:line="560" w:lineRule="exact"/>
        <w:ind w:firstLine="482" w:firstLineChars="200"/>
        <w:rPr>
          <w:rFonts w:ascii="宋体" w:hAnsi="宋体" w:eastAsia="宋体" w:cs="Times New Roman"/>
          <w:b/>
          <w:sz w:val="24"/>
          <w:szCs w:val="24"/>
          <w:highlight w:val="none"/>
        </w:rPr>
      </w:pPr>
      <w:r>
        <w:rPr>
          <w:rFonts w:hint="eastAsia" w:ascii="宋体" w:hAnsi="宋体" w:eastAsia="宋体" w:cs="Times New Roman"/>
          <w:b/>
          <w:sz w:val="24"/>
          <w:szCs w:val="24"/>
          <w:highlight w:val="none"/>
        </w:rPr>
        <w:t>第十条  协议终止</w:t>
      </w:r>
    </w:p>
    <w:p w14:paraId="5EC48623">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乙方存在下列情形的，甲方可终止本协议，并由采购人追究乙方的违约责任。</w:t>
      </w:r>
    </w:p>
    <w:p w14:paraId="5DA3E3E4">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1．乙方未能依照本协议约定条件履行合同，已构成根本性违约的；</w:t>
      </w:r>
    </w:p>
    <w:p w14:paraId="5DCAA365">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2</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乙方将货物转包他人生产的；</w:t>
      </w:r>
    </w:p>
    <w:p w14:paraId="268D2DCC">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3．乙方在履行协议过程中有不正当竞争行为的；</w:t>
      </w:r>
    </w:p>
    <w:p w14:paraId="4FB823F6">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4．如果协议的履行将损害国家利益或社会公共利益的。</w:t>
      </w:r>
    </w:p>
    <w:p w14:paraId="0C14482B">
      <w:pPr>
        <w:spacing w:line="560" w:lineRule="exact"/>
        <w:ind w:firstLine="482" w:firstLineChars="200"/>
        <w:rPr>
          <w:rFonts w:ascii="宋体" w:hAnsi="宋体" w:eastAsia="宋体" w:cs="Times New Roman"/>
          <w:b/>
          <w:sz w:val="24"/>
          <w:szCs w:val="24"/>
          <w:highlight w:val="none"/>
        </w:rPr>
      </w:pPr>
      <w:r>
        <w:rPr>
          <w:rFonts w:hint="eastAsia" w:ascii="宋体" w:hAnsi="宋体" w:eastAsia="宋体" w:cs="Times New Roman"/>
          <w:b/>
          <w:sz w:val="24"/>
          <w:szCs w:val="24"/>
          <w:highlight w:val="none"/>
        </w:rPr>
        <w:t>第十一条  不可抗力</w:t>
      </w:r>
    </w:p>
    <w:p w14:paraId="51FF2803">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1．任何一方对由于不可抗力造成的部分或全部不能履行本协议不承担违约责任。但迟延履行后发生不可抗力的，不能免除责任。</w:t>
      </w:r>
    </w:p>
    <w:p w14:paraId="4C427887">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2．遇有不可抗力的一方，应在三日内将事件的情况以书面形式通知另一方，并在事件发生后十日内，向另一方提交合同不能履行或部分不能履行或需要延期履行理由的报告。</w:t>
      </w:r>
    </w:p>
    <w:p w14:paraId="3E65DCB0">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3．不可抗力是指协议双方不可预见、不可避免、不可克服的自然灾害和社会事件。</w:t>
      </w:r>
    </w:p>
    <w:p w14:paraId="07AA207C">
      <w:pPr>
        <w:spacing w:line="560" w:lineRule="exact"/>
        <w:ind w:firstLine="482" w:firstLineChars="200"/>
        <w:rPr>
          <w:rFonts w:ascii="宋体" w:hAnsi="宋体" w:eastAsia="宋体" w:cs="Times New Roman"/>
          <w:b/>
          <w:sz w:val="24"/>
          <w:szCs w:val="24"/>
          <w:highlight w:val="none"/>
        </w:rPr>
      </w:pPr>
      <w:r>
        <w:rPr>
          <w:rFonts w:hint="eastAsia" w:ascii="宋体" w:hAnsi="宋体" w:eastAsia="宋体" w:cs="Times New Roman"/>
          <w:b/>
          <w:sz w:val="24"/>
          <w:szCs w:val="24"/>
          <w:highlight w:val="none"/>
        </w:rPr>
        <w:t>第十二条  新增采购人</w:t>
      </w:r>
    </w:p>
    <w:p w14:paraId="1736DCB5">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在协议执行期间，甲方可将新设立的下属企业纳入本协议作为新增采购人，乙方承诺按照本协议约定的价格与服务供货给新增采购人。</w:t>
      </w:r>
    </w:p>
    <w:p w14:paraId="23372D74">
      <w:pPr>
        <w:spacing w:line="560" w:lineRule="exact"/>
        <w:ind w:firstLine="482" w:firstLineChars="200"/>
        <w:rPr>
          <w:rFonts w:ascii="宋体" w:hAnsi="宋体" w:eastAsia="宋体" w:cs="Times New Roman"/>
          <w:b/>
          <w:sz w:val="24"/>
          <w:szCs w:val="24"/>
          <w:highlight w:val="none"/>
        </w:rPr>
      </w:pPr>
      <w:r>
        <w:rPr>
          <w:rFonts w:hint="eastAsia" w:ascii="宋体" w:hAnsi="宋体" w:eastAsia="宋体" w:cs="Times New Roman"/>
          <w:b/>
          <w:sz w:val="24"/>
          <w:szCs w:val="24"/>
          <w:highlight w:val="none"/>
        </w:rPr>
        <w:t>第十三条  解决争议的方法</w:t>
      </w:r>
    </w:p>
    <w:p w14:paraId="65EE7C25">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1.乙方若在供货过程中因供货服务或产品质量等不符合要求，并经</w:t>
      </w:r>
      <w:r>
        <w:rPr>
          <w:rFonts w:hint="eastAsia" w:ascii="宋体" w:hAnsi="宋体" w:eastAsia="宋体" w:cs="Times New Roman"/>
          <w:sz w:val="24"/>
          <w:szCs w:val="24"/>
          <w:highlight w:val="none"/>
          <w:lang w:val="en-US" w:eastAsia="zh-CN"/>
        </w:rPr>
        <w:t>采购人</w:t>
      </w:r>
      <w:r>
        <w:rPr>
          <w:rFonts w:hint="eastAsia" w:ascii="宋体" w:hAnsi="宋体" w:eastAsia="宋体" w:cs="Times New Roman"/>
          <w:sz w:val="24"/>
          <w:szCs w:val="24"/>
          <w:highlight w:val="none"/>
        </w:rPr>
        <w:t>查实，</w:t>
      </w:r>
      <w:r>
        <w:rPr>
          <w:rFonts w:hint="eastAsia" w:ascii="宋体" w:hAnsi="宋体" w:eastAsia="宋体" w:cs="Times New Roman"/>
          <w:sz w:val="24"/>
          <w:szCs w:val="24"/>
          <w:highlight w:val="none"/>
          <w:lang w:val="en-US" w:eastAsia="zh-CN"/>
        </w:rPr>
        <w:t>采购人</w:t>
      </w:r>
      <w:r>
        <w:rPr>
          <w:rFonts w:hint="eastAsia" w:ascii="宋体" w:hAnsi="宋体" w:eastAsia="宋体" w:cs="Times New Roman"/>
          <w:sz w:val="24"/>
          <w:szCs w:val="24"/>
          <w:highlight w:val="none"/>
        </w:rPr>
        <w:t>有权调整其供货区域或取消其供货资格。</w:t>
      </w:r>
    </w:p>
    <w:p w14:paraId="7947C341">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2</w:t>
      </w:r>
      <w:r>
        <w:rPr>
          <w:rFonts w:ascii="宋体" w:hAnsi="宋体" w:eastAsia="宋体" w:cs="Times New Roman"/>
          <w:sz w:val="24"/>
          <w:szCs w:val="24"/>
          <w:highlight w:val="none"/>
        </w:rPr>
        <w:t>.</w:t>
      </w:r>
      <w:r>
        <w:rPr>
          <w:rFonts w:hint="eastAsia" w:ascii="宋体" w:hAnsi="宋体" w:eastAsia="宋体" w:cs="Times New Roman"/>
          <w:sz w:val="24"/>
          <w:szCs w:val="24"/>
          <w:highlight w:val="none"/>
        </w:rPr>
        <w:t>协议各方应通过友好协商，解决在执行本协议过程中所发生的或与本协议有关的一切争端。协商不成的，应向供货合同签订地有管辖权的人民法院提起诉讼。</w:t>
      </w:r>
    </w:p>
    <w:p w14:paraId="0D4CA79D">
      <w:pPr>
        <w:spacing w:line="560" w:lineRule="exact"/>
        <w:ind w:firstLine="482" w:firstLineChars="200"/>
        <w:rPr>
          <w:rFonts w:ascii="宋体" w:hAnsi="宋体" w:eastAsia="宋体" w:cs="Times New Roman"/>
          <w:b/>
          <w:sz w:val="24"/>
          <w:szCs w:val="24"/>
          <w:highlight w:val="none"/>
        </w:rPr>
      </w:pPr>
      <w:r>
        <w:rPr>
          <w:rFonts w:hint="eastAsia" w:ascii="宋体" w:hAnsi="宋体" w:eastAsia="宋体" w:cs="Times New Roman"/>
          <w:b/>
          <w:sz w:val="24"/>
          <w:szCs w:val="24"/>
          <w:highlight w:val="none"/>
        </w:rPr>
        <w:t>第十四条  协议生效及文本</w:t>
      </w:r>
    </w:p>
    <w:p w14:paraId="3AA15A57">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1．本协议在协议各方签字盖章后生效。</w:t>
      </w:r>
    </w:p>
    <w:p w14:paraId="46A87B32">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2．本协议一式</w:t>
      </w:r>
      <w:r>
        <w:rPr>
          <w:rFonts w:hint="eastAsia" w:ascii="宋体" w:hAnsi="宋体" w:eastAsia="宋体" w:cs="Times New Roman"/>
          <w:sz w:val="24"/>
          <w:szCs w:val="24"/>
          <w:highlight w:val="none"/>
          <w:u w:val="single"/>
        </w:rPr>
        <w:t xml:space="preserve"> 陆 </w:t>
      </w:r>
      <w:r>
        <w:rPr>
          <w:rFonts w:hint="eastAsia" w:ascii="宋体" w:hAnsi="宋体" w:eastAsia="宋体" w:cs="Times New Roman"/>
          <w:sz w:val="24"/>
          <w:szCs w:val="24"/>
          <w:highlight w:val="none"/>
        </w:rPr>
        <w:t>份，各方各执</w:t>
      </w:r>
      <w:r>
        <w:rPr>
          <w:rFonts w:hint="eastAsia" w:ascii="宋体" w:hAnsi="宋体" w:eastAsia="宋体" w:cs="Times New Roman"/>
          <w:sz w:val="24"/>
          <w:szCs w:val="24"/>
          <w:highlight w:val="none"/>
          <w:u w:val="single"/>
        </w:rPr>
        <w:t xml:space="preserve"> 叁  </w:t>
      </w:r>
      <w:r>
        <w:rPr>
          <w:rFonts w:hint="eastAsia" w:ascii="宋体" w:hAnsi="宋体" w:eastAsia="宋体" w:cs="Times New Roman"/>
          <w:sz w:val="24"/>
          <w:szCs w:val="24"/>
          <w:highlight w:val="none"/>
        </w:rPr>
        <w:t>份。</w:t>
      </w:r>
    </w:p>
    <w:p w14:paraId="58274574">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第十五条  合同文件</w:t>
      </w:r>
    </w:p>
    <w:p w14:paraId="107BDA1C">
      <w:pPr>
        <w:snapToGrid w:val="0"/>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1．下列文件是合同文件的组成部分，并具有法律效力：</w:t>
      </w:r>
    </w:p>
    <w:p w14:paraId="5EE41596">
      <w:pPr>
        <w:snapToGrid w:val="0"/>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（1）乙方与采购人在供货合同签订后达成的采购订单、纪要、协议、补充协议书等文件；</w:t>
      </w:r>
    </w:p>
    <w:p w14:paraId="3FEB1EAF">
      <w:pPr>
        <w:snapToGrid w:val="0"/>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（2）供货合同；</w:t>
      </w:r>
    </w:p>
    <w:p w14:paraId="7B95383E">
      <w:pPr>
        <w:snapToGrid w:val="0"/>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（3）本集中采购框架协议；</w:t>
      </w:r>
    </w:p>
    <w:p w14:paraId="4A6EE1B3">
      <w:pPr>
        <w:snapToGrid w:val="0"/>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（4）中</w:t>
      </w:r>
      <w:r>
        <w:rPr>
          <w:rFonts w:hint="eastAsia" w:ascii="宋体" w:hAnsi="宋体" w:eastAsia="宋体" w:cs="Times New Roman"/>
          <w:sz w:val="24"/>
          <w:szCs w:val="24"/>
          <w:highlight w:val="none"/>
          <w:lang w:val="en-US" w:eastAsia="zh-CN"/>
        </w:rPr>
        <w:t>选</w:t>
      </w:r>
      <w:r>
        <w:rPr>
          <w:rFonts w:hint="eastAsia" w:ascii="宋体" w:hAnsi="宋体" w:eastAsia="宋体" w:cs="Times New Roman"/>
          <w:sz w:val="24"/>
          <w:szCs w:val="24"/>
          <w:highlight w:val="none"/>
        </w:rPr>
        <w:t>通知书；</w:t>
      </w:r>
    </w:p>
    <w:p w14:paraId="230EE825">
      <w:pPr>
        <w:snapToGrid w:val="0"/>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（5）</w:t>
      </w:r>
      <w:r>
        <w:rPr>
          <w:rFonts w:hint="eastAsia" w:ascii="宋体" w:hAnsi="宋体" w:eastAsia="宋体" w:cs="Times New Roman"/>
          <w:sz w:val="24"/>
          <w:szCs w:val="24"/>
          <w:highlight w:val="none"/>
          <w:lang w:val="en-US" w:eastAsia="zh-CN"/>
        </w:rPr>
        <w:t>参选</w:t>
      </w:r>
      <w:r>
        <w:rPr>
          <w:rFonts w:hint="eastAsia" w:ascii="宋体" w:hAnsi="宋体" w:eastAsia="宋体" w:cs="Times New Roman"/>
          <w:sz w:val="24"/>
          <w:szCs w:val="24"/>
          <w:highlight w:val="none"/>
        </w:rPr>
        <w:t>文件和招</w:t>
      </w:r>
      <w:r>
        <w:rPr>
          <w:rFonts w:hint="eastAsia" w:ascii="宋体" w:hAnsi="宋体" w:eastAsia="宋体" w:cs="Times New Roman"/>
          <w:sz w:val="24"/>
          <w:szCs w:val="24"/>
          <w:highlight w:val="none"/>
          <w:lang w:val="en-US" w:eastAsia="zh-CN"/>
        </w:rPr>
        <w:t>选</w:t>
      </w:r>
      <w:r>
        <w:rPr>
          <w:rFonts w:hint="eastAsia" w:ascii="宋体" w:hAnsi="宋体" w:eastAsia="宋体" w:cs="Times New Roman"/>
          <w:sz w:val="24"/>
          <w:szCs w:val="24"/>
          <w:highlight w:val="none"/>
        </w:rPr>
        <w:t>文件；</w:t>
      </w:r>
    </w:p>
    <w:p w14:paraId="04A10654">
      <w:pPr>
        <w:snapToGrid w:val="0"/>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（6）形成合同的其他文件。</w:t>
      </w:r>
    </w:p>
    <w:p w14:paraId="380E0051">
      <w:pPr>
        <w:snapToGrid w:val="0"/>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上述文件应互为补充和解释，如有不清或互相矛盾之处，以上面所列顺序在前为准，同一顺序的以时间在后者为准。</w:t>
      </w:r>
    </w:p>
    <w:p w14:paraId="68EA1687">
      <w:pPr>
        <w:spacing w:line="560" w:lineRule="exact"/>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2.乙方须承诺保证按本条款所列文件进行供货，并承担上述文件规定的全部责任和义务。</w:t>
      </w:r>
    </w:p>
    <w:p w14:paraId="398DB060">
      <w:pPr>
        <w:pStyle w:val="29"/>
        <w:ind w:firstLine="240"/>
        <w:rPr>
          <w:sz w:val="24"/>
          <w:szCs w:val="24"/>
          <w:highlight w:val="none"/>
        </w:rPr>
      </w:pPr>
    </w:p>
    <w:p w14:paraId="5B73526C">
      <w:pPr>
        <w:pStyle w:val="63"/>
        <w:rPr>
          <w:highlight w:val="none"/>
        </w:rPr>
      </w:pPr>
    </w:p>
    <w:p w14:paraId="476C2BE5">
      <w:pPr>
        <w:spacing w:line="560" w:lineRule="exact"/>
        <w:rPr>
          <w:rFonts w:ascii="宋体" w:hAnsi="宋体" w:eastAsia="宋体" w:cs="Times New Roman"/>
          <w:sz w:val="24"/>
          <w:szCs w:val="24"/>
          <w:highlight w:val="none"/>
        </w:rPr>
      </w:pPr>
      <w:r>
        <w:rPr>
          <w:rFonts w:hint="eastAsia" w:ascii="宋体" w:hAnsi="宋体" w:eastAsia="宋体" w:cs="Times New Roman"/>
          <w:sz w:val="24"/>
          <w:szCs w:val="24"/>
          <w:highlight w:val="none"/>
        </w:rPr>
        <w:t xml:space="preserve">甲方：（盖章） </w:t>
      </w:r>
    </w:p>
    <w:p w14:paraId="1E85559B">
      <w:pPr>
        <w:spacing w:line="560" w:lineRule="exact"/>
        <w:rPr>
          <w:rFonts w:ascii="宋体" w:hAnsi="宋体" w:eastAsia="宋体" w:cs="Times New Roman"/>
          <w:sz w:val="24"/>
          <w:szCs w:val="24"/>
          <w:highlight w:val="none"/>
        </w:rPr>
      </w:pPr>
      <w:r>
        <w:rPr>
          <w:rFonts w:hint="eastAsia" w:ascii="宋体" w:hAnsi="宋体" w:eastAsia="宋体" w:cs="Times New Roman"/>
          <w:sz w:val="24"/>
          <w:szCs w:val="24"/>
          <w:highlight w:val="none"/>
        </w:rPr>
        <w:t>法定代表人（授权代表）：</w:t>
      </w:r>
    </w:p>
    <w:p w14:paraId="3CCAE736">
      <w:pPr>
        <w:spacing w:line="560" w:lineRule="exact"/>
        <w:rPr>
          <w:rFonts w:ascii="宋体" w:hAnsi="宋体" w:eastAsia="宋体" w:cs="Times New Roman"/>
          <w:sz w:val="24"/>
          <w:szCs w:val="24"/>
          <w:highlight w:val="none"/>
        </w:rPr>
      </w:pPr>
    </w:p>
    <w:p w14:paraId="2316A36E">
      <w:pPr>
        <w:spacing w:line="560" w:lineRule="exact"/>
        <w:ind w:left="-567" w:leftChars="-270"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乙方：（盖章）</w:t>
      </w:r>
    </w:p>
    <w:p w14:paraId="47783030">
      <w:pPr>
        <w:spacing w:line="560" w:lineRule="exact"/>
        <w:ind w:left="-567" w:leftChars="-270"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法定代表人（授权代表）：</w:t>
      </w:r>
    </w:p>
    <w:p w14:paraId="470619AB">
      <w:pPr>
        <w:spacing w:line="560" w:lineRule="exact"/>
        <w:rPr>
          <w:rFonts w:ascii="宋体" w:hAnsi="宋体" w:eastAsia="宋体" w:cs="Times New Roman"/>
          <w:sz w:val="24"/>
          <w:szCs w:val="24"/>
          <w:highlight w:val="none"/>
        </w:rPr>
      </w:pPr>
    </w:p>
    <w:p w14:paraId="76F1822D">
      <w:pPr>
        <w:spacing w:line="560" w:lineRule="exact"/>
        <w:ind w:left="-567" w:leftChars="-270"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签约时间：    年    月    日</w:t>
      </w:r>
    </w:p>
    <w:p w14:paraId="5F818D82">
      <w:pPr>
        <w:spacing w:line="560" w:lineRule="exact"/>
        <w:ind w:left="-567" w:leftChars="-270"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签约地址：</w:t>
      </w:r>
    </w:p>
    <w:p w14:paraId="43DBCAB2">
      <w:pPr>
        <w:spacing w:line="560" w:lineRule="exact"/>
        <w:ind w:left="-567" w:leftChars="-270" w:firstLine="480" w:firstLineChars="200"/>
        <w:rPr>
          <w:rFonts w:ascii="宋体" w:hAnsi="宋体" w:eastAsia="宋体" w:cs="Times New Roman"/>
          <w:sz w:val="24"/>
          <w:szCs w:val="24"/>
          <w:highlight w:val="none"/>
        </w:rPr>
      </w:pPr>
    </w:p>
    <w:p w14:paraId="22966C5B">
      <w:pPr>
        <w:widowControl/>
        <w:spacing w:line="240" w:lineRule="auto"/>
        <w:jc w:val="left"/>
        <w:rPr>
          <w:rFonts w:cs="宋体" w:asciiTheme="minorEastAsia" w:hAnsiTheme="minorEastAsia"/>
          <w:kern w:val="0"/>
          <w:sz w:val="24"/>
          <w:szCs w:val="24"/>
          <w:highlight w:val="none"/>
        </w:rPr>
      </w:pPr>
    </w:p>
    <w:p w14:paraId="3E0E0362">
      <w:pPr>
        <w:pageBreakBefore/>
        <w:spacing w:line="560" w:lineRule="exact"/>
        <w:ind w:right="-57" w:rightChars="-27"/>
        <w:jc w:val="center"/>
        <w:rPr>
          <w:rFonts w:ascii="宋体" w:hAnsi="宋体" w:eastAsia="宋体" w:cs="Times New Roman"/>
          <w:b/>
          <w:sz w:val="36"/>
          <w:szCs w:val="36"/>
          <w:highlight w:val="none"/>
        </w:rPr>
      </w:pPr>
      <w:r>
        <w:rPr>
          <w:rFonts w:hint="eastAsia" w:ascii="宋体" w:hAnsi="宋体" w:eastAsia="宋体" w:cs="Times New Roman"/>
          <w:b/>
          <w:sz w:val="36"/>
          <w:szCs w:val="36"/>
          <w:highlight w:val="none"/>
        </w:rPr>
        <w:t>福建省水利水电工程局有限公司</w:t>
      </w:r>
    </w:p>
    <w:p w14:paraId="61FFD14D">
      <w:pPr>
        <w:pStyle w:val="30"/>
        <w:ind w:left="1807" w:leftChars="0" w:hanging="1807" w:hangingChars="500"/>
        <w:jc w:val="center"/>
        <w:rPr>
          <w:rFonts w:ascii="宋体" w:hAnsi="宋体"/>
          <w:b/>
          <w:sz w:val="36"/>
          <w:szCs w:val="36"/>
          <w:highlight w:val="none"/>
        </w:rPr>
      </w:pPr>
      <w:r>
        <w:rPr>
          <w:rFonts w:hint="eastAsia" w:ascii="宋体" w:hAnsi="宋体" w:eastAsia="宋体" w:cs="Times New Roman"/>
          <w:b/>
          <w:sz w:val="36"/>
          <w:szCs w:val="36"/>
          <w:highlight w:val="none"/>
        </w:rPr>
        <w:t>漳州市东南部沿海地区九龙江调水工程</w:t>
      </w:r>
    </w:p>
    <w:p w14:paraId="354AEFD6">
      <w:pPr>
        <w:spacing w:line="360" w:lineRule="auto"/>
        <w:jc w:val="center"/>
        <w:rPr>
          <w:rFonts w:ascii="Times New Roman" w:hAnsi="Times New Roman" w:eastAsia="宋体" w:cs="Times New Roman"/>
          <w:b/>
          <w:sz w:val="36"/>
          <w:szCs w:val="36"/>
          <w:highlight w:val="none"/>
        </w:rPr>
      </w:pPr>
      <w:r>
        <w:rPr>
          <w:rFonts w:hint="eastAsia" w:ascii="Times New Roman" w:hAnsi="Times New Roman" w:eastAsia="宋体" w:cs="Times New Roman"/>
          <w:b/>
          <w:sz w:val="36"/>
          <w:szCs w:val="36"/>
          <w:highlight w:val="none"/>
        </w:rPr>
        <w:t>阀门类采购订单</w:t>
      </w:r>
    </w:p>
    <w:p w14:paraId="7EA011E6">
      <w:pPr>
        <w:spacing w:line="420" w:lineRule="exact"/>
        <w:ind w:right="420" w:firstLine="210" w:firstLineChars="100"/>
        <w:rPr>
          <w:rFonts w:ascii="Times New Roman" w:hAnsi="Times New Roman" w:eastAsia="宋体" w:cs="Times New Roman"/>
          <w:szCs w:val="21"/>
          <w:highlight w:val="none"/>
        </w:rPr>
      </w:pPr>
      <w:r>
        <w:rPr>
          <w:rFonts w:hint="eastAsia" w:cs="宋体" w:asciiTheme="minorEastAsia" w:hAnsiTheme="minorEastAsia"/>
          <w:kern w:val="0"/>
          <w:szCs w:val="21"/>
          <w:highlight w:val="none"/>
          <w:lang w:val="en-US" w:eastAsia="zh-CN"/>
        </w:rPr>
        <w:t>买方</w:t>
      </w:r>
      <w:r>
        <w:rPr>
          <w:rFonts w:hint="eastAsia" w:cs="宋体" w:asciiTheme="minorEastAsia" w:hAnsiTheme="minorEastAsia"/>
          <w:kern w:val="0"/>
          <w:szCs w:val="21"/>
          <w:highlight w:val="none"/>
        </w:rPr>
        <w:t>（</w:t>
      </w:r>
      <w:r>
        <w:rPr>
          <w:rFonts w:hint="eastAsia" w:cs="宋体" w:asciiTheme="minorEastAsia" w:hAnsiTheme="minorEastAsia"/>
          <w:kern w:val="0"/>
          <w:szCs w:val="21"/>
          <w:highlight w:val="none"/>
          <w:lang w:val="en-US" w:eastAsia="zh-CN"/>
        </w:rPr>
        <w:t>采购人或</w:t>
      </w:r>
      <w:r>
        <w:rPr>
          <w:rFonts w:hint="eastAsia" w:cs="宋体" w:asciiTheme="minorEastAsia" w:hAnsiTheme="minorEastAsia"/>
          <w:kern w:val="0"/>
          <w:szCs w:val="21"/>
          <w:highlight w:val="none"/>
        </w:rPr>
        <w:t>项目部</w:t>
      </w:r>
      <w:r>
        <w:rPr>
          <w:rFonts w:hint="eastAsia" w:ascii="Times New Roman" w:hAnsi="Times New Roman" w:eastAsia="宋体" w:cs="Times New Roman"/>
          <w:szCs w:val="21"/>
          <w:highlight w:val="none"/>
        </w:rPr>
        <w:t>盖章）：</w:t>
      </w:r>
    </w:p>
    <w:p w14:paraId="77C435F3">
      <w:pPr>
        <w:spacing w:line="420" w:lineRule="exact"/>
        <w:ind w:right="420" w:firstLine="210" w:firstLineChars="100"/>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联系人：</w:t>
      </w:r>
    </w:p>
    <w:p w14:paraId="7D30DF2F">
      <w:pPr>
        <w:spacing w:line="420" w:lineRule="exact"/>
        <w:ind w:right="420" w:firstLine="210" w:firstLineChars="100"/>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联系方式：</w:t>
      </w:r>
    </w:p>
    <w:p w14:paraId="1C66143B">
      <w:pPr>
        <w:spacing w:line="420" w:lineRule="exact"/>
        <w:ind w:right="420" w:firstLine="210" w:firstLineChars="100"/>
        <w:rPr>
          <w:rFonts w:ascii="Times New Roman" w:hAnsi="Times New Roman" w:eastAsia="宋体" w:cs="Times New Roman"/>
          <w:szCs w:val="21"/>
          <w:highlight w:val="none"/>
        </w:rPr>
      </w:pPr>
      <w:r>
        <w:rPr>
          <w:rFonts w:hint="eastAsia" w:cs="宋体" w:asciiTheme="minorEastAsia" w:hAnsiTheme="minorEastAsia"/>
          <w:kern w:val="0"/>
          <w:szCs w:val="21"/>
          <w:highlight w:val="none"/>
          <w:lang w:val="en-US" w:eastAsia="zh-CN"/>
        </w:rPr>
        <w:t>卖方</w:t>
      </w:r>
      <w:r>
        <w:rPr>
          <w:rFonts w:hint="eastAsia" w:cs="宋体" w:asciiTheme="minorEastAsia" w:hAnsiTheme="minorEastAsia"/>
          <w:kern w:val="0"/>
          <w:szCs w:val="21"/>
          <w:highlight w:val="none"/>
        </w:rPr>
        <w:t>（</w:t>
      </w:r>
      <w:r>
        <w:rPr>
          <w:rFonts w:hint="eastAsia" w:ascii="Times New Roman" w:hAnsi="Times New Roman" w:eastAsia="宋体" w:cs="Times New Roman"/>
          <w:szCs w:val="21"/>
          <w:highlight w:val="none"/>
        </w:rPr>
        <w:t>盖章）：</w:t>
      </w:r>
    </w:p>
    <w:p w14:paraId="2E8D2EE4">
      <w:pPr>
        <w:spacing w:line="420" w:lineRule="exact"/>
        <w:ind w:right="420" w:firstLine="210" w:firstLineChars="100"/>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联系人：</w:t>
      </w:r>
    </w:p>
    <w:p w14:paraId="671E8DD1">
      <w:pPr>
        <w:spacing w:line="420" w:lineRule="exact"/>
        <w:ind w:right="420" w:firstLine="210" w:firstLineChars="100"/>
        <w:rPr>
          <w:rFonts w:ascii="Times New Roman" w:hAnsi="Times New Roman" w:eastAsia="宋体" w:cs="Times New Roman"/>
          <w:szCs w:val="21"/>
        </w:rPr>
      </w:pPr>
      <w:r>
        <w:rPr>
          <w:rFonts w:hint="eastAsia" w:ascii="Times New Roman" w:hAnsi="Times New Roman" w:eastAsia="宋体" w:cs="Times New Roman"/>
          <w:szCs w:val="21"/>
        </w:rPr>
        <w:t>联系方式：</w:t>
      </w:r>
    </w:p>
    <w:tbl>
      <w:tblPr>
        <w:tblStyle w:val="3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842"/>
        <w:gridCol w:w="2410"/>
        <w:gridCol w:w="2693"/>
      </w:tblGrid>
      <w:tr w14:paraId="7AB1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gridSpan w:val="4"/>
            <w:tcBorders>
              <w:left w:val="single" w:color="FFFFFF" w:sz="4" w:space="0"/>
              <w:right w:val="single" w:color="FFFFFF" w:sz="4" w:space="0"/>
            </w:tcBorders>
          </w:tcPr>
          <w:p w14:paraId="6DE66C41">
            <w:pPr>
              <w:spacing w:line="360" w:lineRule="auto"/>
              <w:rPr>
                <w:rFonts w:ascii="宋体" w:hAnsi="宋体" w:eastAsia="宋体" w:cs="Times New Roman"/>
                <w:szCs w:val="21"/>
              </w:rPr>
            </w:pPr>
            <w:r>
              <w:rPr>
                <w:rFonts w:hint="eastAsia" w:ascii="宋体" w:hAnsi="宋体" w:eastAsia="宋体" w:cs="Times New Roman"/>
                <w:szCs w:val="21"/>
              </w:rPr>
              <w:t>项目名称：</w:t>
            </w:r>
          </w:p>
        </w:tc>
      </w:tr>
      <w:tr w14:paraId="4E98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gridSpan w:val="4"/>
            <w:tcBorders>
              <w:left w:val="single" w:color="FFFFFF" w:sz="4" w:space="0"/>
              <w:right w:val="single" w:color="FFFFFF" w:sz="4" w:space="0"/>
            </w:tcBorders>
          </w:tcPr>
          <w:p w14:paraId="2343C0B2">
            <w:pPr>
              <w:spacing w:line="360" w:lineRule="auto"/>
              <w:rPr>
                <w:rFonts w:ascii="宋体" w:hAnsi="宋体" w:eastAsia="宋体" w:cs="Times New Roman"/>
                <w:szCs w:val="21"/>
              </w:rPr>
            </w:pPr>
            <w:r>
              <w:rPr>
                <w:rFonts w:hint="eastAsia" w:ascii="宋体" w:hAnsi="宋体" w:eastAsia="宋体" w:cs="Times New Roman"/>
                <w:szCs w:val="21"/>
              </w:rPr>
              <w:t>下单日期：</w:t>
            </w:r>
          </w:p>
        </w:tc>
      </w:tr>
      <w:tr w14:paraId="0F7D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gridSpan w:val="4"/>
            <w:tcBorders>
              <w:left w:val="single" w:color="FFFFFF" w:sz="4" w:space="0"/>
              <w:right w:val="single" w:color="FFFFFF" w:sz="4" w:space="0"/>
            </w:tcBorders>
          </w:tcPr>
          <w:p w14:paraId="6E6D4C9C">
            <w:pPr>
              <w:spacing w:line="360" w:lineRule="auto"/>
              <w:rPr>
                <w:rFonts w:ascii="宋体" w:hAnsi="宋体" w:eastAsia="宋体" w:cs="Times New Roman"/>
                <w:szCs w:val="21"/>
              </w:rPr>
            </w:pPr>
            <w:r>
              <w:rPr>
                <w:rFonts w:hint="eastAsia" w:ascii="宋体" w:hAnsi="宋体" w:eastAsia="宋体" w:cs="Times New Roman"/>
                <w:szCs w:val="21"/>
              </w:rPr>
              <w:t>采购订单总金额：</w:t>
            </w:r>
          </w:p>
        </w:tc>
      </w:tr>
      <w:tr w14:paraId="3F5E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Borders>
              <w:left w:val="single" w:color="FFFFFF" w:sz="4" w:space="0"/>
            </w:tcBorders>
          </w:tcPr>
          <w:p w14:paraId="35966583">
            <w:pPr>
              <w:spacing w:line="360" w:lineRule="auto"/>
              <w:rPr>
                <w:rFonts w:ascii="宋体" w:hAnsi="宋体" w:eastAsia="宋体" w:cs="Times New Roman"/>
                <w:szCs w:val="21"/>
              </w:rPr>
            </w:pPr>
            <w:r>
              <w:rPr>
                <w:rFonts w:hint="eastAsia" w:ascii="宋体" w:hAnsi="宋体" w:eastAsia="宋体" w:cs="Times New Roman"/>
                <w:szCs w:val="21"/>
              </w:rPr>
              <w:t>采购订单号：</w:t>
            </w:r>
          </w:p>
        </w:tc>
        <w:tc>
          <w:tcPr>
            <w:tcW w:w="1842" w:type="dxa"/>
          </w:tcPr>
          <w:p w14:paraId="2F96E139">
            <w:pPr>
              <w:spacing w:line="360" w:lineRule="auto"/>
              <w:rPr>
                <w:rFonts w:ascii="宋体" w:hAnsi="宋体" w:eastAsia="宋体" w:cs="Times New Roman"/>
                <w:szCs w:val="21"/>
              </w:rPr>
            </w:pPr>
          </w:p>
        </w:tc>
        <w:tc>
          <w:tcPr>
            <w:tcW w:w="2410" w:type="dxa"/>
          </w:tcPr>
          <w:p w14:paraId="1DFC9081">
            <w:pPr>
              <w:spacing w:line="360" w:lineRule="auto"/>
              <w:rPr>
                <w:rFonts w:ascii="宋体" w:hAnsi="宋体" w:eastAsia="宋体" w:cs="Times New Roman"/>
                <w:szCs w:val="21"/>
              </w:rPr>
            </w:pPr>
            <w:r>
              <w:rPr>
                <w:rFonts w:hint="eastAsia" w:ascii="宋体" w:hAnsi="宋体" w:eastAsia="宋体" w:cs="Times New Roman"/>
                <w:szCs w:val="21"/>
              </w:rPr>
              <w:t>送货时间：</w:t>
            </w:r>
          </w:p>
        </w:tc>
        <w:tc>
          <w:tcPr>
            <w:tcW w:w="2693" w:type="dxa"/>
            <w:tcBorders>
              <w:right w:val="single" w:color="FFFFFF" w:sz="4" w:space="0"/>
            </w:tcBorders>
          </w:tcPr>
          <w:p w14:paraId="33F02D13">
            <w:pPr>
              <w:spacing w:line="360" w:lineRule="auto"/>
              <w:rPr>
                <w:rFonts w:ascii="宋体" w:hAnsi="宋体" w:eastAsia="宋体" w:cs="Times New Roman"/>
                <w:szCs w:val="21"/>
              </w:rPr>
            </w:pPr>
          </w:p>
        </w:tc>
      </w:tr>
      <w:tr w14:paraId="71BC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Borders>
              <w:left w:val="single" w:color="FFFFFF" w:sz="4" w:space="0"/>
            </w:tcBorders>
          </w:tcPr>
          <w:p w14:paraId="483CB12E">
            <w:pPr>
              <w:spacing w:line="360" w:lineRule="auto"/>
              <w:rPr>
                <w:rFonts w:ascii="宋体" w:hAnsi="宋体" w:eastAsia="宋体" w:cs="Times New Roman"/>
                <w:szCs w:val="21"/>
              </w:rPr>
            </w:pPr>
            <w:r>
              <w:rPr>
                <w:rFonts w:hint="eastAsia" w:ascii="宋体" w:hAnsi="宋体" w:eastAsia="宋体" w:cs="Times New Roman"/>
                <w:szCs w:val="21"/>
              </w:rPr>
              <w:t>收货地址：</w:t>
            </w:r>
          </w:p>
        </w:tc>
        <w:tc>
          <w:tcPr>
            <w:tcW w:w="1842" w:type="dxa"/>
          </w:tcPr>
          <w:p w14:paraId="2CE67B2B">
            <w:pPr>
              <w:spacing w:line="360" w:lineRule="auto"/>
              <w:rPr>
                <w:rFonts w:ascii="宋体" w:hAnsi="宋体" w:eastAsia="宋体" w:cs="Times New Roman"/>
                <w:szCs w:val="21"/>
              </w:rPr>
            </w:pPr>
          </w:p>
        </w:tc>
        <w:tc>
          <w:tcPr>
            <w:tcW w:w="2410" w:type="dxa"/>
          </w:tcPr>
          <w:p w14:paraId="4787E36F">
            <w:pPr>
              <w:spacing w:line="360" w:lineRule="auto"/>
              <w:rPr>
                <w:rFonts w:ascii="宋体" w:hAnsi="宋体" w:eastAsia="宋体" w:cs="Times New Roman"/>
                <w:szCs w:val="21"/>
              </w:rPr>
            </w:pPr>
            <w:r>
              <w:rPr>
                <w:rFonts w:hint="eastAsia" w:ascii="宋体" w:hAnsi="宋体" w:eastAsia="宋体" w:cs="Times New Roman"/>
                <w:szCs w:val="21"/>
              </w:rPr>
              <w:t>收货人及联系电话:</w:t>
            </w:r>
          </w:p>
        </w:tc>
        <w:tc>
          <w:tcPr>
            <w:tcW w:w="2693" w:type="dxa"/>
            <w:tcBorders>
              <w:right w:val="single" w:color="FFFFFF" w:sz="4" w:space="0"/>
            </w:tcBorders>
          </w:tcPr>
          <w:p w14:paraId="0BECC75A">
            <w:pPr>
              <w:spacing w:line="360" w:lineRule="auto"/>
              <w:rPr>
                <w:rFonts w:ascii="宋体" w:hAnsi="宋体" w:eastAsia="宋体" w:cs="Times New Roman"/>
                <w:szCs w:val="21"/>
              </w:rPr>
            </w:pPr>
          </w:p>
        </w:tc>
      </w:tr>
    </w:tbl>
    <w:p w14:paraId="7CA12A1A">
      <w:pPr>
        <w:spacing w:line="360" w:lineRule="auto"/>
        <w:rPr>
          <w:rFonts w:ascii="Times New Roman" w:hAnsi="Times New Roman" w:eastAsia="宋体" w:cs="Times New Roman"/>
          <w:vanish/>
          <w:szCs w:val="21"/>
        </w:rPr>
      </w:pPr>
    </w:p>
    <w:tbl>
      <w:tblPr>
        <w:tblStyle w:val="31"/>
        <w:tblW w:w="8600" w:type="dxa"/>
        <w:tblInd w:w="93" w:type="dxa"/>
        <w:tblLayout w:type="fixed"/>
        <w:tblCellMar>
          <w:top w:w="0" w:type="dxa"/>
          <w:left w:w="108" w:type="dxa"/>
          <w:bottom w:w="0" w:type="dxa"/>
          <w:right w:w="108" w:type="dxa"/>
        </w:tblCellMar>
      </w:tblPr>
      <w:tblGrid>
        <w:gridCol w:w="960"/>
        <w:gridCol w:w="1240"/>
        <w:gridCol w:w="1360"/>
        <w:gridCol w:w="960"/>
        <w:gridCol w:w="1480"/>
        <w:gridCol w:w="1280"/>
        <w:gridCol w:w="1320"/>
      </w:tblGrid>
      <w:tr w14:paraId="7D20CAAB">
        <w:tblPrEx>
          <w:tblCellMar>
            <w:top w:w="0" w:type="dxa"/>
            <w:left w:w="108" w:type="dxa"/>
            <w:bottom w:w="0" w:type="dxa"/>
            <w:right w:w="108" w:type="dxa"/>
          </w:tblCellMar>
        </w:tblPrEx>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14:paraId="1A8DA63E">
            <w:pPr>
              <w:widowControl/>
              <w:spacing w:line="240" w:lineRule="auto"/>
              <w:jc w:val="center"/>
              <w:rPr>
                <w:rFonts w:ascii="宋体" w:hAnsi="宋体" w:eastAsia="宋体" w:cs="宋体"/>
                <w:kern w:val="0"/>
                <w:szCs w:val="21"/>
              </w:rPr>
            </w:pPr>
            <w:r>
              <w:rPr>
                <w:rFonts w:hint="eastAsia" w:ascii="宋体" w:hAnsi="宋体" w:eastAsia="宋体" w:cs="宋体"/>
                <w:kern w:val="0"/>
                <w:szCs w:val="21"/>
              </w:rPr>
              <w:t>序号</w:t>
            </w:r>
          </w:p>
        </w:tc>
        <w:tc>
          <w:tcPr>
            <w:tcW w:w="1240" w:type="dxa"/>
            <w:tcBorders>
              <w:top w:val="single" w:color="auto" w:sz="4" w:space="0"/>
              <w:left w:val="nil"/>
              <w:bottom w:val="single" w:color="auto" w:sz="4" w:space="0"/>
              <w:right w:val="single" w:color="auto" w:sz="4" w:space="0"/>
            </w:tcBorders>
            <w:shd w:val="clear" w:color="auto" w:fill="auto"/>
            <w:vAlign w:val="center"/>
          </w:tcPr>
          <w:p w14:paraId="27512175">
            <w:pPr>
              <w:widowControl/>
              <w:spacing w:line="240" w:lineRule="auto"/>
              <w:jc w:val="center"/>
              <w:rPr>
                <w:rFonts w:ascii="宋体" w:hAnsi="宋体" w:eastAsia="宋体" w:cs="宋体"/>
                <w:kern w:val="0"/>
                <w:szCs w:val="21"/>
              </w:rPr>
            </w:pPr>
            <w:r>
              <w:rPr>
                <w:rFonts w:hint="eastAsia" w:ascii="宋体" w:hAnsi="宋体" w:eastAsia="宋体" w:cs="宋体"/>
                <w:kern w:val="0"/>
                <w:szCs w:val="21"/>
              </w:rPr>
              <w:t>货物名称</w:t>
            </w:r>
          </w:p>
        </w:tc>
        <w:tc>
          <w:tcPr>
            <w:tcW w:w="1360" w:type="dxa"/>
            <w:tcBorders>
              <w:top w:val="single" w:color="auto" w:sz="4" w:space="0"/>
              <w:left w:val="nil"/>
              <w:bottom w:val="single" w:color="auto" w:sz="4" w:space="0"/>
              <w:right w:val="single" w:color="auto" w:sz="4" w:space="0"/>
            </w:tcBorders>
            <w:shd w:val="clear" w:color="auto" w:fill="auto"/>
            <w:vAlign w:val="center"/>
          </w:tcPr>
          <w:p w14:paraId="28ABCAB2">
            <w:pPr>
              <w:widowControl/>
              <w:spacing w:line="240" w:lineRule="auto"/>
              <w:jc w:val="center"/>
              <w:rPr>
                <w:rFonts w:ascii="宋体" w:hAnsi="宋体" w:eastAsia="宋体" w:cs="宋体"/>
                <w:kern w:val="0"/>
                <w:szCs w:val="21"/>
              </w:rPr>
            </w:pPr>
            <w:r>
              <w:rPr>
                <w:rFonts w:hint="eastAsia" w:ascii="宋体" w:hAnsi="宋体" w:eastAsia="宋体" w:cs="宋体"/>
                <w:kern w:val="0"/>
                <w:szCs w:val="21"/>
              </w:rPr>
              <w:t>技术规格</w:t>
            </w:r>
          </w:p>
        </w:tc>
        <w:tc>
          <w:tcPr>
            <w:tcW w:w="960" w:type="dxa"/>
            <w:tcBorders>
              <w:top w:val="single" w:color="auto" w:sz="4" w:space="0"/>
              <w:left w:val="nil"/>
              <w:bottom w:val="single" w:color="auto" w:sz="4" w:space="0"/>
              <w:right w:val="single" w:color="auto" w:sz="4" w:space="0"/>
            </w:tcBorders>
            <w:shd w:val="clear" w:color="auto" w:fill="auto"/>
            <w:vAlign w:val="center"/>
          </w:tcPr>
          <w:p w14:paraId="0261EB01">
            <w:pPr>
              <w:widowControl/>
              <w:spacing w:line="240" w:lineRule="auto"/>
              <w:jc w:val="center"/>
              <w:rPr>
                <w:rFonts w:ascii="宋体" w:hAnsi="宋体" w:eastAsia="宋体" w:cs="宋体"/>
                <w:kern w:val="0"/>
                <w:szCs w:val="21"/>
              </w:rPr>
            </w:pPr>
            <w:r>
              <w:rPr>
                <w:rFonts w:hint="eastAsia" w:ascii="宋体" w:hAnsi="宋体" w:eastAsia="宋体" w:cs="宋体"/>
                <w:kern w:val="0"/>
                <w:szCs w:val="21"/>
              </w:rPr>
              <w:t>数量</w:t>
            </w:r>
          </w:p>
        </w:tc>
        <w:tc>
          <w:tcPr>
            <w:tcW w:w="1480" w:type="dxa"/>
            <w:tcBorders>
              <w:top w:val="single" w:color="auto" w:sz="4" w:space="0"/>
              <w:left w:val="nil"/>
              <w:bottom w:val="single" w:color="auto" w:sz="4" w:space="0"/>
              <w:right w:val="single" w:color="auto" w:sz="4" w:space="0"/>
            </w:tcBorders>
            <w:shd w:val="clear" w:color="auto" w:fill="auto"/>
            <w:vAlign w:val="center"/>
          </w:tcPr>
          <w:p w14:paraId="34F372D0">
            <w:pPr>
              <w:widowControl/>
              <w:spacing w:line="240" w:lineRule="auto"/>
              <w:jc w:val="center"/>
              <w:rPr>
                <w:rFonts w:ascii="宋体" w:hAnsi="宋体" w:eastAsia="宋体" w:cs="宋体"/>
                <w:kern w:val="0"/>
                <w:szCs w:val="21"/>
              </w:rPr>
            </w:pPr>
            <w:r>
              <w:rPr>
                <w:rFonts w:hint="eastAsia" w:ascii="宋体" w:hAnsi="宋体" w:eastAsia="宋体" w:cs="宋体"/>
                <w:kern w:val="0"/>
                <w:szCs w:val="21"/>
              </w:rPr>
              <w:t>计量单位</w:t>
            </w:r>
          </w:p>
        </w:tc>
        <w:tc>
          <w:tcPr>
            <w:tcW w:w="1280" w:type="dxa"/>
            <w:tcBorders>
              <w:top w:val="single" w:color="auto" w:sz="4" w:space="0"/>
              <w:left w:val="nil"/>
              <w:bottom w:val="single" w:color="auto" w:sz="4" w:space="0"/>
              <w:right w:val="single" w:color="auto" w:sz="4" w:space="0"/>
            </w:tcBorders>
            <w:shd w:val="clear" w:color="auto" w:fill="auto"/>
            <w:vAlign w:val="center"/>
          </w:tcPr>
          <w:p w14:paraId="104B15C3">
            <w:pPr>
              <w:widowControl/>
              <w:spacing w:line="240" w:lineRule="auto"/>
              <w:jc w:val="center"/>
              <w:rPr>
                <w:rFonts w:ascii="宋体" w:hAnsi="宋体" w:eastAsia="宋体" w:cs="宋体"/>
                <w:kern w:val="0"/>
                <w:szCs w:val="21"/>
              </w:rPr>
            </w:pPr>
            <w:r>
              <w:rPr>
                <w:rFonts w:hint="eastAsia" w:ascii="宋体" w:hAnsi="宋体" w:eastAsia="宋体" w:cs="宋体"/>
                <w:kern w:val="0"/>
                <w:szCs w:val="21"/>
              </w:rPr>
              <w:t>单价</w:t>
            </w:r>
          </w:p>
        </w:tc>
        <w:tc>
          <w:tcPr>
            <w:tcW w:w="1320" w:type="dxa"/>
            <w:tcBorders>
              <w:top w:val="single" w:color="auto" w:sz="4" w:space="0"/>
              <w:left w:val="nil"/>
              <w:bottom w:val="single" w:color="auto" w:sz="4" w:space="0"/>
              <w:right w:val="single" w:color="auto" w:sz="4" w:space="0"/>
            </w:tcBorders>
            <w:shd w:val="clear" w:color="auto" w:fill="auto"/>
            <w:vAlign w:val="center"/>
          </w:tcPr>
          <w:p w14:paraId="29D832F9">
            <w:pPr>
              <w:widowControl/>
              <w:spacing w:line="240" w:lineRule="auto"/>
              <w:jc w:val="center"/>
              <w:rPr>
                <w:rFonts w:ascii="宋体" w:hAnsi="宋体" w:eastAsia="宋体" w:cs="宋体"/>
                <w:kern w:val="0"/>
                <w:szCs w:val="21"/>
              </w:rPr>
            </w:pPr>
            <w:r>
              <w:rPr>
                <w:rFonts w:hint="eastAsia" w:ascii="宋体" w:hAnsi="宋体" w:eastAsia="宋体" w:cs="宋体"/>
                <w:kern w:val="0"/>
                <w:szCs w:val="21"/>
              </w:rPr>
              <w:t>小计</w:t>
            </w:r>
          </w:p>
        </w:tc>
      </w:tr>
      <w:tr w14:paraId="5C995D8F">
        <w:tblPrEx>
          <w:tblCellMar>
            <w:top w:w="0" w:type="dxa"/>
            <w:left w:w="108" w:type="dxa"/>
            <w:bottom w:w="0" w:type="dxa"/>
            <w:right w:w="108" w:type="dxa"/>
          </w:tblCellMar>
        </w:tblPrEx>
        <w:tc>
          <w:tcPr>
            <w:tcW w:w="960" w:type="dxa"/>
            <w:tcBorders>
              <w:top w:val="nil"/>
              <w:left w:val="single" w:color="auto" w:sz="4" w:space="0"/>
              <w:bottom w:val="single" w:color="auto" w:sz="4" w:space="0"/>
              <w:right w:val="single" w:color="auto" w:sz="4" w:space="0"/>
            </w:tcBorders>
            <w:shd w:val="clear" w:color="auto" w:fill="auto"/>
            <w:vAlign w:val="center"/>
          </w:tcPr>
          <w:p w14:paraId="145B6B20">
            <w:pPr>
              <w:widowControl/>
              <w:spacing w:line="240" w:lineRule="auto"/>
              <w:rPr>
                <w:rFonts w:ascii="宋体" w:hAnsi="宋体" w:eastAsia="宋体" w:cs="Times New Roman"/>
                <w:kern w:val="0"/>
                <w:szCs w:val="21"/>
              </w:rPr>
            </w:pPr>
          </w:p>
        </w:tc>
        <w:tc>
          <w:tcPr>
            <w:tcW w:w="1240" w:type="dxa"/>
            <w:tcBorders>
              <w:top w:val="nil"/>
              <w:left w:val="nil"/>
              <w:bottom w:val="single" w:color="auto" w:sz="4" w:space="0"/>
              <w:right w:val="single" w:color="auto" w:sz="4" w:space="0"/>
            </w:tcBorders>
            <w:shd w:val="clear" w:color="auto" w:fill="auto"/>
            <w:vAlign w:val="center"/>
          </w:tcPr>
          <w:p w14:paraId="4A4AF120">
            <w:pPr>
              <w:widowControl/>
              <w:spacing w:line="240" w:lineRule="auto"/>
              <w:rPr>
                <w:rFonts w:ascii="宋体" w:hAnsi="宋体" w:eastAsia="宋体" w:cs="Times New Roman"/>
                <w:kern w:val="0"/>
                <w:szCs w:val="21"/>
              </w:rPr>
            </w:pPr>
          </w:p>
        </w:tc>
        <w:tc>
          <w:tcPr>
            <w:tcW w:w="1360" w:type="dxa"/>
            <w:tcBorders>
              <w:top w:val="nil"/>
              <w:left w:val="nil"/>
              <w:bottom w:val="single" w:color="auto" w:sz="4" w:space="0"/>
              <w:right w:val="single" w:color="auto" w:sz="4" w:space="0"/>
            </w:tcBorders>
            <w:shd w:val="clear" w:color="auto" w:fill="auto"/>
            <w:vAlign w:val="center"/>
          </w:tcPr>
          <w:p w14:paraId="7F0F6972">
            <w:pPr>
              <w:widowControl/>
              <w:spacing w:line="240" w:lineRule="auto"/>
              <w:rPr>
                <w:rFonts w:ascii="宋体" w:hAnsi="宋体" w:eastAsia="宋体" w:cs="Times New Roman"/>
                <w:kern w:val="0"/>
                <w:szCs w:val="21"/>
              </w:rPr>
            </w:pPr>
          </w:p>
        </w:tc>
        <w:tc>
          <w:tcPr>
            <w:tcW w:w="960" w:type="dxa"/>
            <w:tcBorders>
              <w:top w:val="nil"/>
              <w:left w:val="nil"/>
              <w:bottom w:val="single" w:color="auto" w:sz="4" w:space="0"/>
              <w:right w:val="single" w:color="auto" w:sz="4" w:space="0"/>
            </w:tcBorders>
            <w:shd w:val="clear" w:color="auto" w:fill="auto"/>
            <w:vAlign w:val="center"/>
          </w:tcPr>
          <w:p w14:paraId="382E9A0E">
            <w:pPr>
              <w:widowControl/>
              <w:spacing w:line="240" w:lineRule="auto"/>
              <w:rPr>
                <w:rFonts w:ascii="宋体" w:hAnsi="宋体" w:eastAsia="宋体" w:cs="Times New Roman"/>
                <w:kern w:val="0"/>
                <w:szCs w:val="21"/>
              </w:rPr>
            </w:pPr>
          </w:p>
        </w:tc>
        <w:tc>
          <w:tcPr>
            <w:tcW w:w="1480" w:type="dxa"/>
            <w:tcBorders>
              <w:top w:val="nil"/>
              <w:left w:val="nil"/>
              <w:bottom w:val="single" w:color="auto" w:sz="4" w:space="0"/>
              <w:right w:val="single" w:color="auto" w:sz="4" w:space="0"/>
            </w:tcBorders>
            <w:shd w:val="clear" w:color="auto" w:fill="auto"/>
            <w:vAlign w:val="center"/>
          </w:tcPr>
          <w:p w14:paraId="5E679BA2">
            <w:pPr>
              <w:widowControl/>
              <w:spacing w:line="240" w:lineRule="auto"/>
              <w:rPr>
                <w:rFonts w:ascii="宋体" w:hAnsi="宋体" w:eastAsia="宋体" w:cs="Times New Roman"/>
                <w:kern w:val="0"/>
                <w:szCs w:val="21"/>
              </w:rPr>
            </w:pPr>
          </w:p>
        </w:tc>
        <w:tc>
          <w:tcPr>
            <w:tcW w:w="1280" w:type="dxa"/>
            <w:tcBorders>
              <w:top w:val="nil"/>
              <w:left w:val="nil"/>
              <w:bottom w:val="single" w:color="auto" w:sz="4" w:space="0"/>
              <w:right w:val="single" w:color="auto" w:sz="4" w:space="0"/>
            </w:tcBorders>
            <w:shd w:val="clear" w:color="auto" w:fill="auto"/>
            <w:vAlign w:val="center"/>
          </w:tcPr>
          <w:p w14:paraId="075F025C">
            <w:pPr>
              <w:widowControl/>
              <w:spacing w:line="240" w:lineRule="auto"/>
              <w:rPr>
                <w:rFonts w:ascii="宋体" w:hAnsi="宋体" w:eastAsia="宋体" w:cs="Times New Roman"/>
                <w:kern w:val="0"/>
                <w:szCs w:val="21"/>
              </w:rPr>
            </w:pPr>
          </w:p>
        </w:tc>
        <w:tc>
          <w:tcPr>
            <w:tcW w:w="1320" w:type="dxa"/>
            <w:tcBorders>
              <w:top w:val="nil"/>
              <w:left w:val="nil"/>
              <w:bottom w:val="single" w:color="auto" w:sz="4" w:space="0"/>
              <w:right w:val="single" w:color="auto" w:sz="4" w:space="0"/>
            </w:tcBorders>
            <w:shd w:val="clear" w:color="auto" w:fill="auto"/>
            <w:vAlign w:val="center"/>
          </w:tcPr>
          <w:p w14:paraId="20C3F8CF">
            <w:pPr>
              <w:widowControl/>
              <w:spacing w:line="240" w:lineRule="auto"/>
              <w:rPr>
                <w:rFonts w:ascii="宋体" w:hAnsi="宋体" w:eastAsia="宋体" w:cs="Times New Roman"/>
                <w:kern w:val="0"/>
                <w:szCs w:val="21"/>
              </w:rPr>
            </w:pPr>
          </w:p>
        </w:tc>
      </w:tr>
      <w:tr w14:paraId="48442153">
        <w:tblPrEx>
          <w:tblCellMar>
            <w:top w:w="0" w:type="dxa"/>
            <w:left w:w="108" w:type="dxa"/>
            <w:bottom w:w="0" w:type="dxa"/>
            <w:right w:w="108" w:type="dxa"/>
          </w:tblCellMar>
        </w:tblPrEx>
        <w:tc>
          <w:tcPr>
            <w:tcW w:w="960" w:type="dxa"/>
            <w:tcBorders>
              <w:top w:val="nil"/>
              <w:left w:val="single" w:color="auto" w:sz="4" w:space="0"/>
              <w:bottom w:val="single" w:color="auto" w:sz="4" w:space="0"/>
              <w:right w:val="single" w:color="auto" w:sz="4" w:space="0"/>
            </w:tcBorders>
            <w:shd w:val="clear" w:color="auto" w:fill="auto"/>
            <w:vAlign w:val="center"/>
          </w:tcPr>
          <w:p w14:paraId="04BC6C35">
            <w:pPr>
              <w:widowControl/>
              <w:spacing w:line="240" w:lineRule="auto"/>
              <w:rPr>
                <w:rFonts w:ascii="宋体" w:hAnsi="宋体" w:eastAsia="宋体" w:cs="Times New Roman"/>
                <w:kern w:val="0"/>
                <w:szCs w:val="21"/>
              </w:rPr>
            </w:pPr>
          </w:p>
        </w:tc>
        <w:tc>
          <w:tcPr>
            <w:tcW w:w="1240" w:type="dxa"/>
            <w:tcBorders>
              <w:top w:val="nil"/>
              <w:left w:val="nil"/>
              <w:bottom w:val="single" w:color="auto" w:sz="4" w:space="0"/>
              <w:right w:val="single" w:color="auto" w:sz="4" w:space="0"/>
            </w:tcBorders>
            <w:shd w:val="clear" w:color="auto" w:fill="auto"/>
            <w:vAlign w:val="center"/>
          </w:tcPr>
          <w:p w14:paraId="2EEFBC33">
            <w:pPr>
              <w:widowControl/>
              <w:spacing w:line="240" w:lineRule="auto"/>
              <w:rPr>
                <w:rFonts w:ascii="宋体" w:hAnsi="宋体" w:eastAsia="宋体" w:cs="Times New Roman"/>
                <w:kern w:val="0"/>
                <w:szCs w:val="21"/>
              </w:rPr>
            </w:pPr>
          </w:p>
        </w:tc>
        <w:tc>
          <w:tcPr>
            <w:tcW w:w="1360" w:type="dxa"/>
            <w:tcBorders>
              <w:top w:val="nil"/>
              <w:left w:val="nil"/>
              <w:bottom w:val="single" w:color="auto" w:sz="4" w:space="0"/>
              <w:right w:val="single" w:color="auto" w:sz="4" w:space="0"/>
            </w:tcBorders>
            <w:shd w:val="clear" w:color="auto" w:fill="auto"/>
            <w:vAlign w:val="center"/>
          </w:tcPr>
          <w:p w14:paraId="5387AA69">
            <w:pPr>
              <w:widowControl/>
              <w:spacing w:line="240" w:lineRule="auto"/>
              <w:rPr>
                <w:rFonts w:ascii="宋体" w:hAnsi="宋体" w:eastAsia="宋体" w:cs="Times New Roman"/>
                <w:kern w:val="0"/>
                <w:szCs w:val="21"/>
              </w:rPr>
            </w:pPr>
          </w:p>
        </w:tc>
        <w:tc>
          <w:tcPr>
            <w:tcW w:w="960" w:type="dxa"/>
            <w:tcBorders>
              <w:top w:val="nil"/>
              <w:left w:val="nil"/>
              <w:bottom w:val="single" w:color="auto" w:sz="4" w:space="0"/>
              <w:right w:val="single" w:color="auto" w:sz="4" w:space="0"/>
            </w:tcBorders>
            <w:shd w:val="clear" w:color="auto" w:fill="auto"/>
            <w:vAlign w:val="center"/>
          </w:tcPr>
          <w:p w14:paraId="3F577E9C">
            <w:pPr>
              <w:widowControl/>
              <w:spacing w:line="240" w:lineRule="auto"/>
              <w:rPr>
                <w:rFonts w:ascii="宋体" w:hAnsi="宋体" w:eastAsia="宋体" w:cs="Times New Roman"/>
                <w:kern w:val="0"/>
                <w:szCs w:val="21"/>
              </w:rPr>
            </w:pPr>
          </w:p>
        </w:tc>
        <w:tc>
          <w:tcPr>
            <w:tcW w:w="1480" w:type="dxa"/>
            <w:tcBorders>
              <w:top w:val="nil"/>
              <w:left w:val="nil"/>
              <w:bottom w:val="single" w:color="auto" w:sz="4" w:space="0"/>
              <w:right w:val="single" w:color="auto" w:sz="4" w:space="0"/>
            </w:tcBorders>
            <w:shd w:val="clear" w:color="auto" w:fill="auto"/>
            <w:vAlign w:val="center"/>
          </w:tcPr>
          <w:p w14:paraId="5B3D3B05">
            <w:pPr>
              <w:widowControl/>
              <w:spacing w:line="240" w:lineRule="auto"/>
              <w:rPr>
                <w:rFonts w:ascii="宋体" w:hAnsi="宋体" w:eastAsia="宋体" w:cs="Times New Roman"/>
                <w:kern w:val="0"/>
                <w:szCs w:val="21"/>
              </w:rPr>
            </w:pPr>
          </w:p>
        </w:tc>
        <w:tc>
          <w:tcPr>
            <w:tcW w:w="1280" w:type="dxa"/>
            <w:tcBorders>
              <w:top w:val="nil"/>
              <w:left w:val="nil"/>
              <w:bottom w:val="single" w:color="auto" w:sz="4" w:space="0"/>
              <w:right w:val="single" w:color="auto" w:sz="4" w:space="0"/>
            </w:tcBorders>
            <w:shd w:val="clear" w:color="auto" w:fill="auto"/>
            <w:vAlign w:val="center"/>
          </w:tcPr>
          <w:p w14:paraId="2623D5AE">
            <w:pPr>
              <w:widowControl/>
              <w:spacing w:line="240" w:lineRule="auto"/>
              <w:rPr>
                <w:rFonts w:ascii="宋体" w:hAnsi="宋体" w:eastAsia="宋体" w:cs="Times New Roman"/>
                <w:kern w:val="0"/>
                <w:szCs w:val="21"/>
              </w:rPr>
            </w:pPr>
          </w:p>
        </w:tc>
        <w:tc>
          <w:tcPr>
            <w:tcW w:w="1320" w:type="dxa"/>
            <w:tcBorders>
              <w:top w:val="nil"/>
              <w:left w:val="nil"/>
              <w:bottom w:val="single" w:color="auto" w:sz="4" w:space="0"/>
              <w:right w:val="single" w:color="auto" w:sz="4" w:space="0"/>
            </w:tcBorders>
            <w:shd w:val="clear" w:color="auto" w:fill="auto"/>
            <w:vAlign w:val="center"/>
          </w:tcPr>
          <w:p w14:paraId="3D34BD25">
            <w:pPr>
              <w:widowControl/>
              <w:spacing w:line="240" w:lineRule="auto"/>
              <w:rPr>
                <w:rFonts w:ascii="宋体" w:hAnsi="宋体" w:eastAsia="宋体" w:cs="Times New Roman"/>
                <w:kern w:val="0"/>
                <w:szCs w:val="21"/>
              </w:rPr>
            </w:pPr>
          </w:p>
        </w:tc>
      </w:tr>
      <w:tr w14:paraId="5BACCD50">
        <w:tblPrEx>
          <w:tblCellMar>
            <w:top w:w="0" w:type="dxa"/>
            <w:left w:w="108" w:type="dxa"/>
            <w:bottom w:w="0" w:type="dxa"/>
            <w:right w:w="108" w:type="dxa"/>
          </w:tblCellMar>
        </w:tblPrEx>
        <w:tc>
          <w:tcPr>
            <w:tcW w:w="960" w:type="dxa"/>
            <w:tcBorders>
              <w:top w:val="nil"/>
              <w:left w:val="single" w:color="auto" w:sz="4" w:space="0"/>
              <w:bottom w:val="single" w:color="auto" w:sz="4" w:space="0"/>
              <w:right w:val="single" w:color="auto" w:sz="4" w:space="0"/>
            </w:tcBorders>
            <w:shd w:val="clear" w:color="auto" w:fill="auto"/>
            <w:vAlign w:val="center"/>
          </w:tcPr>
          <w:p w14:paraId="3F8E4C80">
            <w:pPr>
              <w:widowControl/>
              <w:spacing w:line="240" w:lineRule="auto"/>
              <w:rPr>
                <w:rFonts w:ascii="宋体" w:hAnsi="宋体" w:eastAsia="宋体" w:cs="Times New Roman"/>
                <w:kern w:val="0"/>
                <w:szCs w:val="21"/>
              </w:rPr>
            </w:pPr>
          </w:p>
        </w:tc>
        <w:tc>
          <w:tcPr>
            <w:tcW w:w="1240" w:type="dxa"/>
            <w:tcBorders>
              <w:top w:val="nil"/>
              <w:left w:val="nil"/>
              <w:bottom w:val="single" w:color="auto" w:sz="4" w:space="0"/>
              <w:right w:val="single" w:color="auto" w:sz="4" w:space="0"/>
            </w:tcBorders>
            <w:shd w:val="clear" w:color="auto" w:fill="auto"/>
            <w:vAlign w:val="center"/>
          </w:tcPr>
          <w:p w14:paraId="7BAF44AD">
            <w:pPr>
              <w:widowControl/>
              <w:spacing w:line="240" w:lineRule="auto"/>
              <w:rPr>
                <w:rFonts w:ascii="宋体" w:hAnsi="宋体" w:eastAsia="宋体" w:cs="Times New Roman"/>
                <w:kern w:val="0"/>
                <w:szCs w:val="21"/>
              </w:rPr>
            </w:pPr>
          </w:p>
        </w:tc>
        <w:tc>
          <w:tcPr>
            <w:tcW w:w="1360" w:type="dxa"/>
            <w:tcBorders>
              <w:top w:val="nil"/>
              <w:left w:val="nil"/>
              <w:bottom w:val="single" w:color="auto" w:sz="4" w:space="0"/>
              <w:right w:val="single" w:color="auto" w:sz="4" w:space="0"/>
            </w:tcBorders>
            <w:shd w:val="clear" w:color="auto" w:fill="auto"/>
            <w:vAlign w:val="center"/>
          </w:tcPr>
          <w:p w14:paraId="02C261AC">
            <w:pPr>
              <w:widowControl/>
              <w:spacing w:line="240" w:lineRule="auto"/>
              <w:rPr>
                <w:rFonts w:ascii="宋体" w:hAnsi="宋体" w:eastAsia="宋体" w:cs="Times New Roman"/>
                <w:kern w:val="0"/>
                <w:szCs w:val="21"/>
              </w:rPr>
            </w:pPr>
          </w:p>
        </w:tc>
        <w:tc>
          <w:tcPr>
            <w:tcW w:w="960" w:type="dxa"/>
            <w:tcBorders>
              <w:top w:val="nil"/>
              <w:left w:val="nil"/>
              <w:bottom w:val="single" w:color="auto" w:sz="4" w:space="0"/>
              <w:right w:val="single" w:color="auto" w:sz="4" w:space="0"/>
            </w:tcBorders>
            <w:shd w:val="clear" w:color="auto" w:fill="auto"/>
            <w:vAlign w:val="center"/>
          </w:tcPr>
          <w:p w14:paraId="0A3869C4">
            <w:pPr>
              <w:widowControl/>
              <w:spacing w:line="240" w:lineRule="auto"/>
              <w:rPr>
                <w:rFonts w:ascii="宋体" w:hAnsi="宋体" w:eastAsia="宋体" w:cs="Times New Roman"/>
                <w:kern w:val="0"/>
                <w:szCs w:val="21"/>
              </w:rPr>
            </w:pPr>
          </w:p>
        </w:tc>
        <w:tc>
          <w:tcPr>
            <w:tcW w:w="1480" w:type="dxa"/>
            <w:tcBorders>
              <w:top w:val="nil"/>
              <w:left w:val="nil"/>
              <w:bottom w:val="single" w:color="auto" w:sz="4" w:space="0"/>
              <w:right w:val="single" w:color="auto" w:sz="4" w:space="0"/>
            </w:tcBorders>
            <w:shd w:val="clear" w:color="auto" w:fill="auto"/>
            <w:vAlign w:val="center"/>
          </w:tcPr>
          <w:p w14:paraId="17CA03F4">
            <w:pPr>
              <w:widowControl/>
              <w:spacing w:line="240" w:lineRule="auto"/>
              <w:rPr>
                <w:rFonts w:ascii="宋体" w:hAnsi="宋体" w:eastAsia="宋体" w:cs="Times New Roman"/>
                <w:kern w:val="0"/>
                <w:szCs w:val="21"/>
              </w:rPr>
            </w:pPr>
          </w:p>
        </w:tc>
        <w:tc>
          <w:tcPr>
            <w:tcW w:w="1280" w:type="dxa"/>
            <w:tcBorders>
              <w:top w:val="nil"/>
              <w:left w:val="nil"/>
              <w:bottom w:val="single" w:color="auto" w:sz="4" w:space="0"/>
              <w:right w:val="single" w:color="auto" w:sz="4" w:space="0"/>
            </w:tcBorders>
            <w:shd w:val="clear" w:color="auto" w:fill="auto"/>
            <w:vAlign w:val="center"/>
          </w:tcPr>
          <w:p w14:paraId="131C0066">
            <w:pPr>
              <w:widowControl/>
              <w:spacing w:line="240" w:lineRule="auto"/>
              <w:rPr>
                <w:rFonts w:ascii="宋体" w:hAnsi="宋体" w:eastAsia="宋体" w:cs="Times New Roman"/>
                <w:kern w:val="0"/>
                <w:szCs w:val="21"/>
              </w:rPr>
            </w:pPr>
          </w:p>
        </w:tc>
        <w:tc>
          <w:tcPr>
            <w:tcW w:w="1320" w:type="dxa"/>
            <w:tcBorders>
              <w:top w:val="nil"/>
              <w:left w:val="nil"/>
              <w:bottom w:val="single" w:color="auto" w:sz="4" w:space="0"/>
              <w:right w:val="single" w:color="auto" w:sz="4" w:space="0"/>
            </w:tcBorders>
            <w:shd w:val="clear" w:color="auto" w:fill="auto"/>
            <w:vAlign w:val="center"/>
          </w:tcPr>
          <w:p w14:paraId="0D7C6DAC">
            <w:pPr>
              <w:widowControl/>
              <w:spacing w:line="240" w:lineRule="auto"/>
              <w:rPr>
                <w:rFonts w:ascii="宋体" w:hAnsi="宋体" w:eastAsia="宋体" w:cs="Times New Roman"/>
                <w:kern w:val="0"/>
                <w:szCs w:val="21"/>
              </w:rPr>
            </w:pPr>
          </w:p>
        </w:tc>
      </w:tr>
      <w:tr w14:paraId="3A6FD9DF">
        <w:tblPrEx>
          <w:tblCellMar>
            <w:top w:w="0" w:type="dxa"/>
            <w:left w:w="108" w:type="dxa"/>
            <w:bottom w:w="0" w:type="dxa"/>
            <w:right w:w="108" w:type="dxa"/>
          </w:tblCellMar>
        </w:tblPrEx>
        <w:tc>
          <w:tcPr>
            <w:tcW w:w="960" w:type="dxa"/>
            <w:tcBorders>
              <w:top w:val="nil"/>
              <w:left w:val="single" w:color="auto" w:sz="4" w:space="0"/>
              <w:bottom w:val="single" w:color="auto" w:sz="4" w:space="0"/>
              <w:right w:val="single" w:color="auto" w:sz="4" w:space="0"/>
            </w:tcBorders>
            <w:shd w:val="clear" w:color="auto" w:fill="auto"/>
            <w:vAlign w:val="center"/>
          </w:tcPr>
          <w:p w14:paraId="2C0695A4">
            <w:pPr>
              <w:widowControl/>
              <w:spacing w:line="240" w:lineRule="auto"/>
              <w:rPr>
                <w:rFonts w:ascii="宋体" w:hAnsi="宋体" w:eastAsia="宋体" w:cs="Times New Roman"/>
                <w:kern w:val="0"/>
                <w:szCs w:val="21"/>
              </w:rPr>
            </w:pPr>
          </w:p>
        </w:tc>
        <w:tc>
          <w:tcPr>
            <w:tcW w:w="1240" w:type="dxa"/>
            <w:tcBorders>
              <w:top w:val="nil"/>
              <w:left w:val="nil"/>
              <w:bottom w:val="single" w:color="auto" w:sz="4" w:space="0"/>
              <w:right w:val="single" w:color="auto" w:sz="4" w:space="0"/>
            </w:tcBorders>
            <w:shd w:val="clear" w:color="auto" w:fill="auto"/>
            <w:vAlign w:val="center"/>
          </w:tcPr>
          <w:p w14:paraId="16E4CE56">
            <w:pPr>
              <w:widowControl/>
              <w:spacing w:line="240" w:lineRule="auto"/>
              <w:rPr>
                <w:rFonts w:ascii="宋体" w:hAnsi="宋体" w:eastAsia="宋体" w:cs="Times New Roman"/>
                <w:kern w:val="0"/>
                <w:szCs w:val="21"/>
              </w:rPr>
            </w:pPr>
          </w:p>
        </w:tc>
        <w:tc>
          <w:tcPr>
            <w:tcW w:w="1360" w:type="dxa"/>
            <w:tcBorders>
              <w:top w:val="nil"/>
              <w:left w:val="nil"/>
              <w:bottom w:val="single" w:color="auto" w:sz="4" w:space="0"/>
              <w:right w:val="single" w:color="auto" w:sz="4" w:space="0"/>
            </w:tcBorders>
            <w:shd w:val="clear" w:color="auto" w:fill="auto"/>
            <w:vAlign w:val="center"/>
          </w:tcPr>
          <w:p w14:paraId="4B0F024A">
            <w:pPr>
              <w:widowControl/>
              <w:spacing w:line="240" w:lineRule="auto"/>
              <w:rPr>
                <w:rFonts w:ascii="宋体" w:hAnsi="宋体" w:eastAsia="宋体" w:cs="Times New Roman"/>
                <w:kern w:val="0"/>
                <w:szCs w:val="21"/>
              </w:rPr>
            </w:pPr>
          </w:p>
        </w:tc>
        <w:tc>
          <w:tcPr>
            <w:tcW w:w="960" w:type="dxa"/>
            <w:tcBorders>
              <w:top w:val="nil"/>
              <w:left w:val="nil"/>
              <w:bottom w:val="single" w:color="auto" w:sz="4" w:space="0"/>
              <w:right w:val="single" w:color="auto" w:sz="4" w:space="0"/>
            </w:tcBorders>
            <w:shd w:val="clear" w:color="auto" w:fill="auto"/>
            <w:vAlign w:val="center"/>
          </w:tcPr>
          <w:p w14:paraId="0CD4A9CC">
            <w:pPr>
              <w:widowControl/>
              <w:spacing w:line="240" w:lineRule="auto"/>
              <w:rPr>
                <w:rFonts w:ascii="宋体" w:hAnsi="宋体" w:eastAsia="宋体" w:cs="Times New Roman"/>
                <w:kern w:val="0"/>
                <w:szCs w:val="21"/>
              </w:rPr>
            </w:pPr>
          </w:p>
        </w:tc>
        <w:tc>
          <w:tcPr>
            <w:tcW w:w="1480" w:type="dxa"/>
            <w:tcBorders>
              <w:top w:val="nil"/>
              <w:left w:val="nil"/>
              <w:bottom w:val="single" w:color="auto" w:sz="4" w:space="0"/>
              <w:right w:val="single" w:color="auto" w:sz="4" w:space="0"/>
            </w:tcBorders>
            <w:shd w:val="clear" w:color="auto" w:fill="auto"/>
            <w:vAlign w:val="center"/>
          </w:tcPr>
          <w:p w14:paraId="76D152EA">
            <w:pPr>
              <w:widowControl/>
              <w:spacing w:line="240" w:lineRule="auto"/>
              <w:rPr>
                <w:rFonts w:ascii="宋体" w:hAnsi="宋体" w:eastAsia="宋体" w:cs="Times New Roman"/>
                <w:kern w:val="0"/>
                <w:szCs w:val="21"/>
              </w:rPr>
            </w:pPr>
          </w:p>
        </w:tc>
        <w:tc>
          <w:tcPr>
            <w:tcW w:w="1280" w:type="dxa"/>
            <w:tcBorders>
              <w:top w:val="nil"/>
              <w:left w:val="nil"/>
              <w:bottom w:val="single" w:color="auto" w:sz="4" w:space="0"/>
              <w:right w:val="single" w:color="auto" w:sz="4" w:space="0"/>
            </w:tcBorders>
            <w:shd w:val="clear" w:color="auto" w:fill="auto"/>
            <w:vAlign w:val="center"/>
          </w:tcPr>
          <w:p w14:paraId="67277FD0">
            <w:pPr>
              <w:widowControl/>
              <w:spacing w:line="240" w:lineRule="auto"/>
              <w:rPr>
                <w:rFonts w:ascii="宋体" w:hAnsi="宋体" w:eastAsia="宋体" w:cs="Times New Roman"/>
                <w:kern w:val="0"/>
                <w:szCs w:val="21"/>
              </w:rPr>
            </w:pPr>
          </w:p>
        </w:tc>
        <w:tc>
          <w:tcPr>
            <w:tcW w:w="1320" w:type="dxa"/>
            <w:tcBorders>
              <w:top w:val="nil"/>
              <w:left w:val="nil"/>
              <w:bottom w:val="single" w:color="auto" w:sz="4" w:space="0"/>
              <w:right w:val="single" w:color="auto" w:sz="4" w:space="0"/>
            </w:tcBorders>
            <w:shd w:val="clear" w:color="auto" w:fill="auto"/>
            <w:vAlign w:val="center"/>
          </w:tcPr>
          <w:p w14:paraId="786F300D">
            <w:pPr>
              <w:widowControl/>
              <w:spacing w:line="240" w:lineRule="auto"/>
              <w:rPr>
                <w:rFonts w:ascii="宋体" w:hAnsi="宋体" w:eastAsia="宋体" w:cs="Times New Roman"/>
                <w:kern w:val="0"/>
                <w:szCs w:val="21"/>
              </w:rPr>
            </w:pPr>
          </w:p>
        </w:tc>
      </w:tr>
      <w:tr w14:paraId="229AFF96">
        <w:tblPrEx>
          <w:tblCellMar>
            <w:top w:w="0" w:type="dxa"/>
            <w:left w:w="108" w:type="dxa"/>
            <w:bottom w:w="0" w:type="dxa"/>
            <w:right w:w="108" w:type="dxa"/>
          </w:tblCellMar>
        </w:tblPrEx>
        <w:tc>
          <w:tcPr>
            <w:tcW w:w="960" w:type="dxa"/>
            <w:tcBorders>
              <w:top w:val="nil"/>
              <w:left w:val="single" w:color="auto" w:sz="4" w:space="0"/>
              <w:bottom w:val="single" w:color="auto" w:sz="4" w:space="0"/>
              <w:right w:val="single" w:color="auto" w:sz="4" w:space="0"/>
            </w:tcBorders>
            <w:shd w:val="clear" w:color="auto" w:fill="auto"/>
            <w:vAlign w:val="center"/>
          </w:tcPr>
          <w:p w14:paraId="5832E26C">
            <w:pPr>
              <w:widowControl/>
              <w:spacing w:line="240" w:lineRule="auto"/>
              <w:rPr>
                <w:rFonts w:ascii="宋体" w:hAnsi="宋体" w:eastAsia="宋体" w:cs="Times New Roman"/>
                <w:kern w:val="0"/>
                <w:szCs w:val="21"/>
              </w:rPr>
            </w:pPr>
          </w:p>
        </w:tc>
        <w:tc>
          <w:tcPr>
            <w:tcW w:w="1240" w:type="dxa"/>
            <w:tcBorders>
              <w:top w:val="nil"/>
              <w:left w:val="nil"/>
              <w:bottom w:val="single" w:color="auto" w:sz="4" w:space="0"/>
              <w:right w:val="single" w:color="auto" w:sz="4" w:space="0"/>
            </w:tcBorders>
            <w:shd w:val="clear" w:color="auto" w:fill="auto"/>
            <w:vAlign w:val="center"/>
          </w:tcPr>
          <w:p w14:paraId="7451A4E3">
            <w:pPr>
              <w:widowControl/>
              <w:spacing w:line="240" w:lineRule="auto"/>
              <w:rPr>
                <w:rFonts w:ascii="宋体" w:hAnsi="宋体" w:eastAsia="宋体" w:cs="Times New Roman"/>
                <w:kern w:val="0"/>
                <w:szCs w:val="21"/>
              </w:rPr>
            </w:pPr>
          </w:p>
        </w:tc>
        <w:tc>
          <w:tcPr>
            <w:tcW w:w="1360" w:type="dxa"/>
            <w:tcBorders>
              <w:top w:val="nil"/>
              <w:left w:val="nil"/>
              <w:bottom w:val="single" w:color="auto" w:sz="4" w:space="0"/>
              <w:right w:val="single" w:color="auto" w:sz="4" w:space="0"/>
            </w:tcBorders>
            <w:shd w:val="clear" w:color="auto" w:fill="auto"/>
            <w:vAlign w:val="center"/>
          </w:tcPr>
          <w:p w14:paraId="13919672">
            <w:pPr>
              <w:widowControl/>
              <w:spacing w:line="240" w:lineRule="auto"/>
              <w:rPr>
                <w:rFonts w:ascii="宋体" w:hAnsi="宋体" w:eastAsia="宋体" w:cs="Times New Roman"/>
                <w:kern w:val="0"/>
                <w:szCs w:val="21"/>
              </w:rPr>
            </w:pPr>
          </w:p>
        </w:tc>
        <w:tc>
          <w:tcPr>
            <w:tcW w:w="960" w:type="dxa"/>
            <w:tcBorders>
              <w:top w:val="nil"/>
              <w:left w:val="nil"/>
              <w:bottom w:val="single" w:color="auto" w:sz="4" w:space="0"/>
              <w:right w:val="single" w:color="auto" w:sz="4" w:space="0"/>
            </w:tcBorders>
            <w:shd w:val="clear" w:color="auto" w:fill="auto"/>
            <w:vAlign w:val="center"/>
          </w:tcPr>
          <w:p w14:paraId="77E4388C">
            <w:pPr>
              <w:widowControl/>
              <w:spacing w:line="240" w:lineRule="auto"/>
              <w:rPr>
                <w:rFonts w:ascii="宋体" w:hAnsi="宋体" w:eastAsia="宋体" w:cs="Times New Roman"/>
                <w:kern w:val="0"/>
                <w:szCs w:val="21"/>
              </w:rPr>
            </w:pPr>
          </w:p>
        </w:tc>
        <w:tc>
          <w:tcPr>
            <w:tcW w:w="1480" w:type="dxa"/>
            <w:tcBorders>
              <w:top w:val="nil"/>
              <w:left w:val="nil"/>
              <w:bottom w:val="single" w:color="auto" w:sz="4" w:space="0"/>
              <w:right w:val="single" w:color="auto" w:sz="4" w:space="0"/>
            </w:tcBorders>
            <w:shd w:val="clear" w:color="auto" w:fill="auto"/>
            <w:vAlign w:val="center"/>
          </w:tcPr>
          <w:p w14:paraId="0D65B369">
            <w:pPr>
              <w:widowControl/>
              <w:spacing w:line="240" w:lineRule="auto"/>
              <w:rPr>
                <w:rFonts w:ascii="宋体" w:hAnsi="宋体" w:eastAsia="宋体" w:cs="Times New Roman"/>
                <w:kern w:val="0"/>
                <w:szCs w:val="21"/>
              </w:rPr>
            </w:pPr>
          </w:p>
        </w:tc>
        <w:tc>
          <w:tcPr>
            <w:tcW w:w="1280" w:type="dxa"/>
            <w:tcBorders>
              <w:top w:val="nil"/>
              <w:left w:val="nil"/>
              <w:bottom w:val="single" w:color="auto" w:sz="4" w:space="0"/>
              <w:right w:val="single" w:color="auto" w:sz="4" w:space="0"/>
            </w:tcBorders>
            <w:shd w:val="clear" w:color="auto" w:fill="auto"/>
            <w:vAlign w:val="center"/>
          </w:tcPr>
          <w:p w14:paraId="058B837D">
            <w:pPr>
              <w:widowControl/>
              <w:spacing w:line="240" w:lineRule="auto"/>
              <w:rPr>
                <w:rFonts w:ascii="宋体" w:hAnsi="宋体" w:eastAsia="宋体" w:cs="Times New Roman"/>
                <w:kern w:val="0"/>
                <w:szCs w:val="21"/>
              </w:rPr>
            </w:pPr>
          </w:p>
        </w:tc>
        <w:tc>
          <w:tcPr>
            <w:tcW w:w="1320" w:type="dxa"/>
            <w:tcBorders>
              <w:top w:val="nil"/>
              <w:left w:val="nil"/>
              <w:bottom w:val="single" w:color="auto" w:sz="4" w:space="0"/>
              <w:right w:val="single" w:color="auto" w:sz="4" w:space="0"/>
            </w:tcBorders>
            <w:shd w:val="clear" w:color="auto" w:fill="auto"/>
            <w:vAlign w:val="center"/>
          </w:tcPr>
          <w:p w14:paraId="462B170F">
            <w:pPr>
              <w:widowControl/>
              <w:spacing w:line="240" w:lineRule="auto"/>
              <w:rPr>
                <w:rFonts w:ascii="宋体" w:hAnsi="宋体" w:eastAsia="宋体" w:cs="Times New Roman"/>
                <w:kern w:val="0"/>
                <w:szCs w:val="21"/>
              </w:rPr>
            </w:pPr>
          </w:p>
        </w:tc>
      </w:tr>
      <w:tr w14:paraId="29590256">
        <w:tblPrEx>
          <w:tblCellMar>
            <w:top w:w="0" w:type="dxa"/>
            <w:left w:w="108" w:type="dxa"/>
            <w:bottom w:w="0" w:type="dxa"/>
            <w:right w:w="108" w:type="dxa"/>
          </w:tblCellMar>
        </w:tblPrEx>
        <w:tc>
          <w:tcPr>
            <w:tcW w:w="960" w:type="dxa"/>
            <w:tcBorders>
              <w:top w:val="nil"/>
              <w:left w:val="single" w:color="auto" w:sz="4" w:space="0"/>
              <w:bottom w:val="single" w:color="auto" w:sz="4" w:space="0"/>
              <w:right w:val="single" w:color="auto" w:sz="4" w:space="0"/>
            </w:tcBorders>
            <w:shd w:val="clear" w:color="auto" w:fill="auto"/>
            <w:vAlign w:val="center"/>
          </w:tcPr>
          <w:p w14:paraId="544B117A">
            <w:pPr>
              <w:widowControl/>
              <w:spacing w:line="240" w:lineRule="auto"/>
              <w:rPr>
                <w:rFonts w:ascii="宋体" w:hAnsi="宋体" w:eastAsia="宋体" w:cs="Times New Roman"/>
                <w:kern w:val="0"/>
                <w:szCs w:val="21"/>
              </w:rPr>
            </w:pPr>
          </w:p>
        </w:tc>
        <w:tc>
          <w:tcPr>
            <w:tcW w:w="1240" w:type="dxa"/>
            <w:tcBorders>
              <w:top w:val="nil"/>
              <w:left w:val="nil"/>
              <w:bottom w:val="single" w:color="auto" w:sz="4" w:space="0"/>
              <w:right w:val="single" w:color="auto" w:sz="4" w:space="0"/>
            </w:tcBorders>
            <w:shd w:val="clear" w:color="auto" w:fill="auto"/>
            <w:vAlign w:val="center"/>
          </w:tcPr>
          <w:p w14:paraId="52D81015">
            <w:pPr>
              <w:widowControl/>
              <w:spacing w:line="240" w:lineRule="auto"/>
              <w:rPr>
                <w:rFonts w:ascii="宋体" w:hAnsi="宋体" w:eastAsia="宋体" w:cs="Times New Roman"/>
                <w:kern w:val="0"/>
                <w:szCs w:val="21"/>
              </w:rPr>
            </w:pPr>
          </w:p>
        </w:tc>
        <w:tc>
          <w:tcPr>
            <w:tcW w:w="1360" w:type="dxa"/>
            <w:tcBorders>
              <w:top w:val="nil"/>
              <w:left w:val="nil"/>
              <w:bottom w:val="single" w:color="auto" w:sz="4" w:space="0"/>
              <w:right w:val="single" w:color="auto" w:sz="4" w:space="0"/>
            </w:tcBorders>
            <w:shd w:val="clear" w:color="auto" w:fill="auto"/>
            <w:vAlign w:val="center"/>
          </w:tcPr>
          <w:p w14:paraId="1D1BFD7A">
            <w:pPr>
              <w:widowControl/>
              <w:spacing w:line="240" w:lineRule="auto"/>
              <w:rPr>
                <w:rFonts w:ascii="宋体" w:hAnsi="宋体" w:eastAsia="宋体" w:cs="Times New Roman"/>
                <w:kern w:val="0"/>
                <w:szCs w:val="21"/>
              </w:rPr>
            </w:pPr>
          </w:p>
        </w:tc>
        <w:tc>
          <w:tcPr>
            <w:tcW w:w="960" w:type="dxa"/>
            <w:tcBorders>
              <w:top w:val="nil"/>
              <w:left w:val="nil"/>
              <w:bottom w:val="single" w:color="auto" w:sz="4" w:space="0"/>
              <w:right w:val="single" w:color="auto" w:sz="4" w:space="0"/>
            </w:tcBorders>
            <w:shd w:val="clear" w:color="auto" w:fill="auto"/>
            <w:vAlign w:val="center"/>
          </w:tcPr>
          <w:p w14:paraId="21EE4B14">
            <w:pPr>
              <w:widowControl/>
              <w:spacing w:line="240" w:lineRule="auto"/>
              <w:rPr>
                <w:rFonts w:ascii="宋体" w:hAnsi="宋体" w:eastAsia="宋体" w:cs="Times New Roman"/>
                <w:kern w:val="0"/>
                <w:szCs w:val="21"/>
              </w:rPr>
            </w:pPr>
          </w:p>
        </w:tc>
        <w:tc>
          <w:tcPr>
            <w:tcW w:w="1480" w:type="dxa"/>
            <w:tcBorders>
              <w:top w:val="nil"/>
              <w:left w:val="nil"/>
              <w:bottom w:val="single" w:color="auto" w:sz="4" w:space="0"/>
              <w:right w:val="single" w:color="auto" w:sz="4" w:space="0"/>
            </w:tcBorders>
            <w:shd w:val="clear" w:color="auto" w:fill="auto"/>
            <w:vAlign w:val="center"/>
          </w:tcPr>
          <w:p w14:paraId="6D6910AB">
            <w:pPr>
              <w:widowControl/>
              <w:spacing w:line="240" w:lineRule="auto"/>
              <w:rPr>
                <w:rFonts w:ascii="宋体" w:hAnsi="宋体" w:eastAsia="宋体" w:cs="Times New Roman"/>
                <w:kern w:val="0"/>
                <w:szCs w:val="21"/>
              </w:rPr>
            </w:pPr>
          </w:p>
        </w:tc>
        <w:tc>
          <w:tcPr>
            <w:tcW w:w="1280" w:type="dxa"/>
            <w:tcBorders>
              <w:top w:val="nil"/>
              <w:left w:val="nil"/>
              <w:bottom w:val="single" w:color="auto" w:sz="4" w:space="0"/>
              <w:right w:val="single" w:color="auto" w:sz="4" w:space="0"/>
            </w:tcBorders>
            <w:shd w:val="clear" w:color="auto" w:fill="auto"/>
            <w:vAlign w:val="center"/>
          </w:tcPr>
          <w:p w14:paraId="71206A6C">
            <w:pPr>
              <w:widowControl/>
              <w:spacing w:line="240" w:lineRule="auto"/>
              <w:rPr>
                <w:rFonts w:ascii="宋体" w:hAnsi="宋体" w:eastAsia="宋体" w:cs="Times New Roman"/>
                <w:kern w:val="0"/>
                <w:szCs w:val="21"/>
              </w:rPr>
            </w:pPr>
          </w:p>
        </w:tc>
        <w:tc>
          <w:tcPr>
            <w:tcW w:w="1320" w:type="dxa"/>
            <w:tcBorders>
              <w:top w:val="nil"/>
              <w:left w:val="nil"/>
              <w:bottom w:val="single" w:color="auto" w:sz="4" w:space="0"/>
              <w:right w:val="single" w:color="auto" w:sz="4" w:space="0"/>
            </w:tcBorders>
            <w:shd w:val="clear" w:color="auto" w:fill="auto"/>
            <w:vAlign w:val="center"/>
          </w:tcPr>
          <w:p w14:paraId="6D9F3967">
            <w:pPr>
              <w:widowControl/>
              <w:spacing w:line="240" w:lineRule="auto"/>
              <w:rPr>
                <w:rFonts w:ascii="宋体" w:hAnsi="宋体" w:eastAsia="宋体" w:cs="Times New Roman"/>
                <w:kern w:val="0"/>
                <w:szCs w:val="21"/>
              </w:rPr>
            </w:pPr>
          </w:p>
        </w:tc>
      </w:tr>
      <w:tr w14:paraId="211D909C">
        <w:tblPrEx>
          <w:tblCellMar>
            <w:top w:w="0" w:type="dxa"/>
            <w:left w:w="108" w:type="dxa"/>
            <w:bottom w:w="0" w:type="dxa"/>
            <w:right w:w="108" w:type="dxa"/>
          </w:tblCellMar>
        </w:tblPrEx>
        <w:tc>
          <w:tcPr>
            <w:tcW w:w="960" w:type="dxa"/>
            <w:tcBorders>
              <w:top w:val="nil"/>
              <w:left w:val="single" w:color="auto" w:sz="4" w:space="0"/>
              <w:bottom w:val="single" w:color="auto" w:sz="4" w:space="0"/>
              <w:right w:val="single" w:color="auto" w:sz="4" w:space="0"/>
            </w:tcBorders>
            <w:shd w:val="clear" w:color="auto" w:fill="auto"/>
            <w:vAlign w:val="center"/>
          </w:tcPr>
          <w:p w14:paraId="36370CEE">
            <w:pPr>
              <w:widowControl/>
              <w:spacing w:line="240" w:lineRule="auto"/>
              <w:rPr>
                <w:rFonts w:ascii="宋体" w:hAnsi="宋体" w:eastAsia="宋体" w:cs="Times New Roman"/>
                <w:kern w:val="0"/>
                <w:szCs w:val="21"/>
              </w:rPr>
            </w:pPr>
          </w:p>
        </w:tc>
        <w:tc>
          <w:tcPr>
            <w:tcW w:w="1240" w:type="dxa"/>
            <w:tcBorders>
              <w:top w:val="nil"/>
              <w:left w:val="nil"/>
              <w:bottom w:val="single" w:color="auto" w:sz="4" w:space="0"/>
              <w:right w:val="single" w:color="auto" w:sz="4" w:space="0"/>
            </w:tcBorders>
            <w:shd w:val="clear" w:color="auto" w:fill="auto"/>
            <w:vAlign w:val="center"/>
          </w:tcPr>
          <w:p w14:paraId="32E4993E">
            <w:pPr>
              <w:widowControl/>
              <w:spacing w:line="240" w:lineRule="auto"/>
              <w:rPr>
                <w:rFonts w:ascii="宋体" w:hAnsi="宋体" w:eastAsia="宋体" w:cs="Times New Roman"/>
                <w:kern w:val="0"/>
                <w:szCs w:val="21"/>
              </w:rPr>
            </w:pPr>
          </w:p>
        </w:tc>
        <w:tc>
          <w:tcPr>
            <w:tcW w:w="1360" w:type="dxa"/>
            <w:tcBorders>
              <w:top w:val="nil"/>
              <w:left w:val="nil"/>
              <w:bottom w:val="single" w:color="auto" w:sz="4" w:space="0"/>
              <w:right w:val="single" w:color="auto" w:sz="4" w:space="0"/>
            </w:tcBorders>
            <w:shd w:val="clear" w:color="auto" w:fill="auto"/>
            <w:vAlign w:val="center"/>
          </w:tcPr>
          <w:p w14:paraId="1C8CF26C">
            <w:pPr>
              <w:widowControl/>
              <w:spacing w:line="240" w:lineRule="auto"/>
              <w:rPr>
                <w:rFonts w:ascii="宋体" w:hAnsi="宋体" w:eastAsia="宋体" w:cs="Times New Roman"/>
                <w:kern w:val="0"/>
                <w:szCs w:val="21"/>
              </w:rPr>
            </w:pPr>
          </w:p>
        </w:tc>
        <w:tc>
          <w:tcPr>
            <w:tcW w:w="960" w:type="dxa"/>
            <w:tcBorders>
              <w:top w:val="nil"/>
              <w:left w:val="nil"/>
              <w:bottom w:val="single" w:color="auto" w:sz="4" w:space="0"/>
              <w:right w:val="single" w:color="auto" w:sz="4" w:space="0"/>
            </w:tcBorders>
            <w:shd w:val="clear" w:color="auto" w:fill="auto"/>
            <w:vAlign w:val="center"/>
          </w:tcPr>
          <w:p w14:paraId="20981979">
            <w:pPr>
              <w:widowControl/>
              <w:spacing w:line="240" w:lineRule="auto"/>
              <w:rPr>
                <w:rFonts w:ascii="宋体" w:hAnsi="宋体" w:eastAsia="宋体" w:cs="Times New Roman"/>
                <w:kern w:val="0"/>
                <w:szCs w:val="21"/>
              </w:rPr>
            </w:pPr>
          </w:p>
        </w:tc>
        <w:tc>
          <w:tcPr>
            <w:tcW w:w="1480" w:type="dxa"/>
            <w:tcBorders>
              <w:top w:val="nil"/>
              <w:left w:val="nil"/>
              <w:bottom w:val="single" w:color="auto" w:sz="4" w:space="0"/>
              <w:right w:val="single" w:color="auto" w:sz="4" w:space="0"/>
            </w:tcBorders>
            <w:shd w:val="clear" w:color="auto" w:fill="auto"/>
            <w:vAlign w:val="center"/>
          </w:tcPr>
          <w:p w14:paraId="13A6EAE6">
            <w:pPr>
              <w:widowControl/>
              <w:spacing w:line="240" w:lineRule="auto"/>
              <w:rPr>
                <w:rFonts w:ascii="宋体" w:hAnsi="宋体" w:eastAsia="宋体" w:cs="Times New Roman"/>
                <w:kern w:val="0"/>
                <w:szCs w:val="21"/>
              </w:rPr>
            </w:pPr>
          </w:p>
        </w:tc>
        <w:tc>
          <w:tcPr>
            <w:tcW w:w="1280" w:type="dxa"/>
            <w:tcBorders>
              <w:top w:val="nil"/>
              <w:left w:val="nil"/>
              <w:bottom w:val="single" w:color="auto" w:sz="4" w:space="0"/>
              <w:right w:val="single" w:color="auto" w:sz="4" w:space="0"/>
            </w:tcBorders>
            <w:shd w:val="clear" w:color="auto" w:fill="auto"/>
            <w:vAlign w:val="center"/>
          </w:tcPr>
          <w:p w14:paraId="34A5B28C">
            <w:pPr>
              <w:widowControl/>
              <w:spacing w:line="240" w:lineRule="auto"/>
              <w:rPr>
                <w:rFonts w:ascii="宋体" w:hAnsi="宋体" w:eastAsia="宋体" w:cs="Times New Roman"/>
                <w:kern w:val="0"/>
                <w:szCs w:val="21"/>
              </w:rPr>
            </w:pPr>
          </w:p>
        </w:tc>
        <w:tc>
          <w:tcPr>
            <w:tcW w:w="1320" w:type="dxa"/>
            <w:tcBorders>
              <w:top w:val="nil"/>
              <w:left w:val="nil"/>
              <w:bottom w:val="single" w:color="auto" w:sz="4" w:space="0"/>
              <w:right w:val="single" w:color="auto" w:sz="4" w:space="0"/>
            </w:tcBorders>
            <w:shd w:val="clear" w:color="auto" w:fill="auto"/>
            <w:vAlign w:val="center"/>
          </w:tcPr>
          <w:p w14:paraId="74CBC8D5">
            <w:pPr>
              <w:widowControl/>
              <w:spacing w:line="240" w:lineRule="auto"/>
              <w:rPr>
                <w:rFonts w:ascii="宋体" w:hAnsi="宋体" w:eastAsia="宋体" w:cs="Times New Roman"/>
                <w:kern w:val="0"/>
                <w:szCs w:val="21"/>
              </w:rPr>
            </w:pPr>
          </w:p>
        </w:tc>
      </w:tr>
      <w:tr w14:paraId="7E6EDCD4">
        <w:tblPrEx>
          <w:tblCellMar>
            <w:top w:w="0" w:type="dxa"/>
            <w:left w:w="108" w:type="dxa"/>
            <w:bottom w:w="0" w:type="dxa"/>
            <w:right w:w="108" w:type="dxa"/>
          </w:tblCellMar>
        </w:tblPrEx>
        <w:tc>
          <w:tcPr>
            <w:tcW w:w="960" w:type="dxa"/>
            <w:tcBorders>
              <w:top w:val="nil"/>
              <w:left w:val="single" w:color="auto" w:sz="4" w:space="0"/>
              <w:bottom w:val="single" w:color="auto" w:sz="4" w:space="0"/>
              <w:right w:val="single" w:color="auto" w:sz="4" w:space="0"/>
            </w:tcBorders>
            <w:shd w:val="clear" w:color="auto" w:fill="auto"/>
            <w:vAlign w:val="center"/>
          </w:tcPr>
          <w:p w14:paraId="2F37A971">
            <w:pPr>
              <w:widowControl/>
              <w:spacing w:line="240" w:lineRule="auto"/>
              <w:rPr>
                <w:rFonts w:ascii="宋体" w:hAnsi="宋体" w:eastAsia="宋体" w:cs="Times New Roman"/>
                <w:kern w:val="0"/>
                <w:szCs w:val="21"/>
              </w:rPr>
            </w:pPr>
          </w:p>
        </w:tc>
        <w:tc>
          <w:tcPr>
            <w:tcW w:w="1240" w:type="dxa"/>
            <w:tcBorders>
              <w:top w:val="nil"/>
              <w:left w:val="nil"/>
              <w:bottom w:val="single" w:color="auto" w:sz="4" w:space="0"/>
              <w:right w:val="single" w:color="auto" w:sz="4" w:space="0"/>
            </w:tcBorders>
            <w:shd w:val="clear" w:color="auto" w:fill="auto"/>
            <w:vAlign w:val="center"/>
          </w:tcPr>
          <w:p w14:paraId="206D46A4">
            <w:pPr>
              <w:widowControl/>
              <w:spacing w:line="240" w:lineRule="auto"/>
              <w:rPr>
                <w:rFonts w:ascii="宋体" w:hAnsi="宋体" w:eastAsia="宋体" w:cs="Times New Roman"/>
                <w:kern w:val="0"/>
                <w:szCs w:val="21"/>
              </w:rPr>
            </w:pPr>
          </w:p>
        </w:tc>
        <w:tc>
          <w:tcPr>
            <w:tcW w:w="1360" w:type="dxa"/>
            <w:tcBorders>
              <w:top w:val="nil"/>
              <w:left w:val="nil"/>
              <w:bottom w:val="single" w:color="auto" w:sz="4" w:space="0"/>
              <w:right w:val="single" w:color="auto" w:sz="4" w:space="0"/>
            </w:tcBorders>
            <w:shd w:val="clear" w:color="auto" w:fill="auto"/>
            <w:vAlign w:val="center"/>
          </w:tcPr>
          <w:p w14:paraId="271E0D7A">
            <w:pPr>
              <w:widowControl/>
              <w:spacing w:line="240" w:lineRule="auto"/>
              <w:rPr>
                <w:rFonts w:ascii="宋体" w:hAnsi="宋体" w:eastAsia="宋体" w:cs="Times New Roman"/>
                <w:kern w:val="0"/>
                <w:szCs w:val="21"/>
              </w:rPr>
            </w:pPr>
          </w:p>
        </w:tc>
        <w:tc>
          <w:tcPr>
            <w:tcW w:w="960" w:type="dxa"/>
            <w:tcBorders>
              <w:top w:val="nil"/>
              <w:left w:val="nil"/>
              <w:bottom w:val="single" w:color="auto" w:sz="4" w:space="0"/>
              <w:right w:val="single" w:color="auto" w:sz="4" w:space="0"/>
            </w:tcBorders>
            <w:shd w:val="clear" w:color="auto" w:fill="auto"/>
            <w:vAlign w:val="center"/>
          </w:tcPr>
          <w:p w14:paraId="0010C62C">
            <w:pPr>
              <w:widowControl/>
              <w:spacing w:line="240" w:lineRule="auto"/>
              <w:rPr>
                <w:rFonts w:ascii="宋体" w:hAnsi="宋体" w:eastAsia="宋体" w:cs="Times New Roman"/>
                <w:kern w:val="0"/>
                <w:szCs w:val="21"/>
              </w:rPr>
            </w:pPr>
          </w:p>
        </w:tc>
        <w:tc>
          <w:tcPr>
            <w:tcW w:w="1480" w:type="dxa"/>
            <w:tcBorders>
              <w:top w:val="nil"/>
              <w:left w:val="nil"/>
              <w:bottom w:val="single" w:color="auto" w:sz="4" w:space="0"/>
              <w:right w:val="single" w:color="auto" w:sz="4" w:space="0"/>
            </w:tcBorders>
            <w:shd w:val="clear" w:color="auto" w:fill="auto"/>
            <w:vAlign w:val="center"/>
          </w:tcPr>
          <w:p w14:paraId="741EE211">
            <w:pPr>
              <w:widowControl/>
              <w:spacing w:line="240" w:lineRule="auto"/>
              <w:rPr>
                <w:rFonts w:ascii="宋体" w:hAnsi="宋体" w:eastAsia="宋体" w:cs="Times New Roman"/>
                <w:kern w:val="0"/>
                <w:szCs w:val="21"/>
              </w:rPr>
            </w:pPr>
          </w:p>
        </w:tc>
        <w:tc>
          <w:tcPr>
            <w:tcW w:w="1280" w:type="dxa"/>
            <w:tcBorders>
              <w:top w:val="nil"/>
              <w:left w:val="nil"/>
              <w:bottom w:val="single" w:color="auto" w:sz="4" w:space="0"/>
              <w:right w:val="single" w:color="auto" w:sz="4" w:space="0"/>
            </w:tcBorders>
            <w:shd w:val="clear" w:color="auto" w:fill="auto"/>
            <w:vAlign w:val="center"/>
          </w:tcPr>
          <w:p w14:paraId="64F9FA59">
            <w:pPr>
              <w:widowControl/>
              <w:spacing w:line="240" w:lineRule="auto"/>
              <w:rPr>
                <w:rFonts w:ascii="宋体" w:hAnsi="宋体" w:eastAsia="宋体" w:cs="Times New Roman"/>
                <w:kern w:val="0"/>
                <w:szCs w:val="21"/>
              </w:rPr>
            </w:pPr>
          </w:p>
        </w:tc>
        <w:tc>
          <w:tcPr>
            <w:tcW w:w="1320" w:type="dxa"/>
            <w:tcBorders>
              <w:top w:val="nil"/>
              <w:left w:val="nil"/>
              <w:bottom w:val="single" w:color="auto" w:sz="4" w:space="0"/>
              <w:right w:val="single" w:color="auto" w:sz="4" w:space="0"/>
            </w:tcBorders>
            <w:shd w:val="clear" w:color="auto" w:fill="auto"/>
            <w:vAlign w:val="center"/>
          </w:tcPr>
          <w:p w14:paraId="0DB903C4">
            <w:pPr>
              <w:widowControl/>
              <w:spacing w:line="240" w:lineRule="auto"/>
              <w:rPr>
                <w:rFonts w:ascii="宋体" w:hAnsi="宋体" w:eastAsia="宋体" w:cs="Times New Roman"/>
                <w:kern w:val="0"/>
                <w:szCs w:val="21"/>
              </w:rPr>
            </w:pPr>
          </w:p>
        </w:tc>
      </w:tr>
      <w:tr w14:paraId="443206BD">
        <w:tblPrEx>
          <w:tblCellMar>
            <w:top w:w="0" w:type="dxa"/>
            <w:left w:w="108" w:type="dxa"/>
            <w:bottom w:w="0" w:type="dxa"/>
            <w:right w:w="108" w:type="dxa"/>
          </w:tblCellMar>
        </w:tblPrEx>
        <w:tc>
          <w:tcPr>
            <w:tcW w:w="960" w:type="dxa"/>
            <w:tcBorders>
              <w:top w:val="nil"/>
              <w:left w:val="single" w:color="auto" w:sz="4" w:space="0"/>
              <w:bottom w:val="single" w:color="auto" w:sz="4" w:space="0"/>
              <w:right w:val="single" w:color="auto" w:sz="4" w:space="0"/>
            </w:tcBorders>
            <w:shd w:val="clear" w:color="auto" w:fill="auto"/>
            <w:vAlign w:val="center"/>
          </w:tcPr>
          <w:p w14:paraId="0244E31C">
            <w:pPr>
              <w:widowControl/>
              <w:spacing w:line="240" w:lineRule="auto"/>
              <w:rPr>
                <w:rFonts w:ascii="宋体" w:hAnsi="宋体" w:eastAsia="宋体" w:cs="Times New Roman"/>
                <w:kern w:val="0"/>
                <w:szCs w:val="21"/>
              </w:rPr>
            </w:pPr>
          </w:p>
        </w:tc>
        <w:tc>
          <w:tcPr>
            <w:tcW w:w="1240" w:type="dxa"/>
            <w:tcBorders>
              <w:top w:val="nil"/>
              <w:left w:val="nil"/>
              <w:bottom w:val="single" w:color="auto" w:sz="4" w:space="0"/>
              <w:right w:val="single" w:color="auto" w:sz="4" w:space="0"/>
            </w:tcBorders>
            <w:shd w:val="clear" w:color="auto" w:fill="auto"/>
            <w:vAlign w:val="center"/>
          </w:tcPr>
          <w:p w14:paraId="66EE4E6F">
            <w:pPr>
              <w:widowControl/>
              <w:spacing w:line="240" w:lineRule="auto"/>
              <w:rPr>
                <w:rFonts w:ascii="宋体" w:hAnsi="宋体" w:eastAsia="宋体" w:cs="Times New Roman"/>
                <w:kern w:val="0"/>
                <w:szCs w:val="21"/>
              </w:rPr>
            </w:pPr>
          </w:p>
        </w:tc>
        <w:tc>
          <w:tcPr>
            <w:tcW w:w="1360" w:type="dxa"/>
            <w:tcBorders>
              <w:top w:val="nil"/>
              <w:left w:val="nil"/>
              <w:bottom w:val="single" w:color="auto" w:sz="4" w:space="0"/>
              <w:right w:val="single" w:color="auto" w:sz="4" w:space="0"/>
            </w:tcBorders>
            <w:shd w:val="clear" w:color="auto" w:fill="auto"/>
            <w:vAlign w:val="center"/>
          </w:tcPr>
          <w:p w14:paraId="59E3FBAB">
            <w:pPr>
              <w:widowControl/>
              <w:spacing w:line="240" w:lineRule="auto"/>
              <w:rPr>
                <w:rFonts w:ascii="宋体" w:hAnsi="宋体" w:eastAsia="宋体" w:cs="Times New Roman"/>
                <w:kern w:val="0"/>
                <w:szCs w:val="21"/>
              </w:rPr>
            </w:pPr>
          </w:p>
        </w:tc>
        <w:tc>
          <w:tcPr>
            <w:tcW w:w="960" w:type="dxa"/>
            <w:tcBorders>
              <w:top w:val="nil"/>
              <w:left w:val="nil"/>
              <w:bottom w:val="single" w:color="auto" w:sz="4" w:space="0"/>
              <w:right w:val="single" w:color="auto" w:sz="4" w:space="0"/>
            </w:tcBorders>
            <w:shd w:val="clear" w:color="auto" w:fill="auto"/>
            <w:vAlign w:val="center"/>
          </w:tcPr>
          <w:p w14:paraId="6BF5D4F4">
            <w:pPr>
              <w:widowControl/>
              <w:spacing w:line="240" w:lineRule="auto"/>
              <w:rPr>
                <w:rFonts w:ascii="宋体" w:hAnsi="宋体" w:eastAsia="宋体" w:cs="Times New Roman"/>
                <w:kern w:val="0"/>
                <w:szCs w:val="21"/>
              </w:rPr>
            </w:pPr>
          </w:p>
        </w:tc>
        <w:tc>
          <w:tcPr>
            <w:tcW w:w="1480" w:type="dxa"/>
            <w:tcBorders>
              <w:top w:val="nil"/>
              <w:left w:val="nil"/>
              <w:bottom w:val="single" w:color="auto" w:sz="4" w:space="0"/>
              <w:right w:val="single" w:color="auto" w:sz="4" w:space="0"/>
            </w:tcBorders>
            <w:shd w:val="clear" w:color="auto" w:fill="auto"/>
            <w:vAlign w:val="center"/>
          </w:tcPr>
          <w:p w14:paraId="4ACD0A42">
            <w:pPr>
              <w:widowControl/>
              <w:spacing w:line="240" w:lineRule="auto"/>
              <w:rPr>
                <w:rFonts w:ascii="宋体" w:hAnsi="宋体" w:eastAsia="宋体" w:cs="Times New Roman"/>
                <w:kern w:val="0"/>
                <w:szCs w:val="21"/>
              </w:rPr>
            </w:pPr>
          </w:p>
        </w:tc>
        <w:tc>
          <w:tcPr>
            <w:tcW w:w="1280" w:type="dxa"/>
            <w:tcBorders>
              <w:top w:val="nil"/>
              <w:left w:val="nil"/>
              <w:bottom w:val="single" w:color="auto" w:sz="4" w:space="0"/>
              <w:right w:val="single" w:color="auto" w:sz="4" w:space="0"/>
            </w:tcBorders>
            <w:shd w:val="clear" w:color="auto" w:fill="auto"/>
            <w:vAlign w:val="center"/>
          </w:tcPr>
          <w:p w14:paraId="4C3820A7">
            <w:pPr>
              <w:widowControl/>
              <w:spacing w:line="240" w:lineRule="auto"/>
              <w:rPr>
                <w:rFonts w:ascii="宋体" w:hAnsi="宋体" w:eastAsia="宋体" w:cs="Times New Roman"/>
                <w:kern w:val="0"/>
                <w:szCs w:val="21"/>
              </w:rPr>
            </w:pPr>
          </w:p>
        </w:tc>
        <w:tc>
          <w:tcPr>
            <w:tcW w:w="1320" w:type="dxa"/>
            <w:tcBorders>
              <w:top w:val="nil"/>
              <w:left w:val="nil"/>
              <w:bottom w:val="single" w:color="auto" w:sz="4" w:space="0"/>
              <w:right w:val="single" w:color="auto" w:sz="4" w:space="0"/>
            </w:tcBorders>
            <w:shd w:val="clear" w:color="auto" w:fill="auto"/>
            <w:vAlign w:val="center"/>
          </w:tcPr>
          <w:p w14:paraId="3781DB6F">
            <w:pPr>
              <w:widowControl/>
              <w:spacing w:line="240" w:lineRule="auto"/>
              <w:rPr>
                <w:rFonts w:ascii="宋体" w:hAnsi="宋体" w:eastAsia="宋体" w:cs="Times New Roman"/>
                <w:kern w:val="0"/>
                <w:szCs w:val="21"/>
              </w:rPr>
            </w:pPr>
          </w:p>
        </w:tc>
      </w:tr>
      <w:tr w14:paraId="7C70F2B4">
        <w:tblPrEx>
          <w:tblCellMar>
            <w:top w:w="0" w:type="dxa"/>
            <w:left w:w="108" w:type="dxa"/>
            <w:bottom w:w="0" w:type="dxa"/>
            <w:right w:w="108" w:type="dxa"/>
          </w:tblCellMar>
        </w:tblPrEx>
        <w:tc>
          <w:tcPr>
            <w:tcW w:w="8600" w:type="dxa"/>
            <w:gridSpan w:val="7"/>
            <w:tcBorders>
              <w:top w:val="single" w:color="auto" w:sz="4" w:space="0"/>
              <w:left w:val="single" w:color="auto" w:sz="4" w:space="0"/>
              <w:bottom w:val="single" w:color="auto" w:sz="4" w:space="0"/>
              <w:right w:val="single" w:color="000000" w:sz="4" w:space="0"/>
            </w:tcBorders>
            <w:shd w:val="clear" w:color="auto" w:fill="auto"/>
            <w:vAlign w:val="center"/>
          </w:tcPr>
          <w:p w14:paraId="2337DF73">
            <w:pPr>
              <w:widowControl/>
              <w:spacing w:line="240" w:lineRule="auto"/>
              <w:jc w:val="left"/>
              <w:rPr>
                <w:rFonts w:ascii="宋体" w:hAnsi="宋体" w:eastAsia="宋体" w:cs="Times New Roman"/>
                <w:kern w:val="0"/>
                <w:szCs w:val="21"/>
              </w:rPr>
            </w:pPr>
            <w:r>
              <w:rPr>
                <w:rFonts w:hint="eastAsia" w:ascii="宋体" w:hAnsi="宋体" w:eastAsia="宋体" w:cs="Times New Roman"/>
                <w:kern w:val="0"/>
                <w:szCs w:val="21"/>
              </w:rPr>
              <w:t>备注：</w:t>
            </w:r>
          </w:p>
          <w:p w14:paraId="1120C17F">
            <w:pPr>
              <w:widowControl/>
              <w:spacing w:line="240" w:lineRule="auto"/>
              <w:ind w:firstLine="315" w:firstLineChars="150"/>
              <w:jc w:val="left"/>
              <w:rPr>
                <w:rFonts w:ascii="宋体" w:hAnsi="宋体" w:eastAsia="宋体" w:cs="Times New Roman"/>
                <w:kern w:val="0"/>
                <w:szCs w:val="21"/>
              </w:rPr>
            </w:pPr>
            <w:r>
              <w:rPr>
                <w:rFonts w:hint="eastAsia" w:ascii="宋体" w:hAnsi="宋体" w:eastAsia="宋体" w:cs="Times New Roman"/>
                <w:kern w:val="0"/>
                <w:szCs w:val="21"/>
              </w:rPr>
              <w:t>一、卖方交货时必须提前</w:t>
            </w:r>
            <w:r>
              <w:rPr>
                <w:rFonts w:ascii="宋体" w:hAnsi="宋体" w:eastAsia="宋体" w:cs="Times New Roman"/>
                <w:kern w:val="0"/>
                <w:szCs w:val="21"/>
              </w:rPr>
              <w:t>24</w:t>
            </w:r>
            <w:r>
              <w:rPr>
                <w:rFonts w:hint="eastAsia" w:ascii="宋体" w:hAnsi="宋体" w:eastAsia="宋体" w:cs="Times New Roman"/>
                <w:kern w:val="0"/>
                <w:szCs w:val="21"/>
              </w:rPr>
              <w:t>小时联系相关买方指定部门确认送货信息方可送货。</w:t>
            </w:r>
          </w:p>
          <w:p w14:paraId="068C3086">
            <w:pPr>
              <w:widowControl/>
              <w:spacing w:line="240" w:lineRule="auto"/>
              <w:ind w:firstLine="315" w:firstLineChars="150"/>
              <w:jc w:val="left"/>
              <w:rPr>
                <w:rFonts w:ascii="宋体" w:hAnsi="宋体" w:eastAsia="宋体" w:cs="Times New Roman"/>
                <w:kern w:val="0"/>
                <w:szCs w:val="21"/>
              </w:rPr>
            </w:pPr>
            <w:r>
              <w:rPr>
                <w:rFonts w:hint="eastAsia" w:ascii="宋体" w:hAnsi="宋体" w:eastAsia="宋体" w:cs="Times New Roman"/>
                <w:kern w:val="0"/>
                <w:szCs w:val="21"/>
              </w:rPr>
              <w:t>二、运输及保险费用：运输费和保险费用由卖方承担。</w:t>
            </w:r>
          </w:p>
          <w:p w14:paraId="25B82B88">
            <w:pPr>
              <w:widowControl/>
              <w:ind w:firstLine="315" w:firstLineChars="150"/>
              <w:jc w:val="left"/>
              <w:rPr>
                <w:rFonts w:ascii="宋体" w:hAnsi="宋体" w:eastAsia="宋体" w:cs="Times New Roman"/>
                <w:kern w:val="0"/>
                <w:szCs w:val="21"/>
              </w:rPr>
            </w:pPr>
            <w:r>
              <w:rPr>
                <w:rFonts w:hint="eastAsia" w:ascii="宋体" w:hAnsi="宋体" w:eastAsia="宋体" w:cs="Times New Roman"/>
                <w:kern w:val="0"/>
                <w:szCs w:val="21"/>
              </w:rPr>
              <w:t>三、本采购订单与买方代表签字的发</w:t>
            </w:r>
            <w:r>
              <w:rPr>
                <w:rFonts w:ascii="宋体" w:hAnsi="宋体" w:eastAsia="宋体" w:cs="Times New Roman"/>
                <w:kern w:val="0"/>
                <w:szCs w:val="21"/>
              </w:rPr>
              <w:t>/</w:t>
            </w:r>
            <w:r>
              <w:rPr>
                <w:rFonts w:hint="eastAsia" w:ascii="宋体" w:hAnsi="宋体" w:eastAsia="宋体" w:cs="Times New Roman"/>
                <w:kern w:val="0"/>
                <w:szCs w:val="21"/>
              </w:rPr>
              <w:t>到货证明作为付款结算不可缺少的凭据。</w:t>
            </w:r>
          </w:p>
          <w:p w14:paraId="78B157E7">
            <w:pPr>
              <w:widowControl/>
              <w:ind w:firstLine="315" w:firstLineChars="150"/>
              <w:jc w:val="left"/>
              <w:rPr>
                <w:rFonts w:ascii="宋体" w:hAnsi="宋体" w:eastAsia="宋体" w:cs="Times New Roman"/>
                <w:kern w:val="0"/>
                <w:szCs w:val="21"/>
              </w:rPr>
            </w:pPr>
            <w:r>
              <w:rPr>
                <w:rFonts w:hint="eastAsia" w:ascii="宋体" w:hAnsi="宋体" w:eastAsia="宋体" w:cs="Times New Roman"/>
                <w:kern w:val="0"/>
                <w:szCs w:val="21"/>
              </w:rPr>
              <w:t>四、本采购订单作为</w:t>
            </w:r>
            <w:r>
              <w:rPr>
                <w:rFonts w:hint="eastAsia" w:cs="宋体" w:asciiTheme="minorEastAsia" w:hAnsiTheme="minorEastAsia"/>
                <w:kern w:val="0"/>
                <w:szCs w:val="21"/>
              </w:rPr>
              <w:t>卖方</w:t>
            </w:r>
            <w:r>
              <w:rPr>
                <w:rFonts w:hint="eastAsia" w:ascii="宋体" w:hAnsi="宋体" w:eastAsia="宋体" w:cs="Times New Roman"/>
                <w:kern w:val="0"/>
                <w:szCs w:val="21"/>
              </w:rPr>
              <w:t>与福建省水利水电工程局有限公司签订的《福建省水利水电工程局有限公司漳州市东南部沿海地区九龙江调水工程阀门类集中采购框架协议》（合同编号：）的附件，本订单未明确事项，遵照该协议执行。</w:t>
            </w:r>
          </w:p>
        </w:tc>
      </w:tr>
    </w:tbl>
    <w:p w14:paraId="65CDF1F8">
      <w:pPr>
        <w:pStyle w:val="62"/>
        <w:numPr>
          <w:ilvl w:val="0"/>
          <w:numId w:val="0"/>
        </w:numPr>
        <w:bidi w:val="0"/>
        <w:jc w:val="center"/>
      </w:pPr>
      <w:bookmarkStart w:id="552" w:name="_Toc28455"/>
      <w:bookmarkStart w:id="553" w:name="_Toc765"/>
      <w:bookmarkStart w:id="554" w:name="_Toc20757"/>
      <w:bookmarkStart w:id="555" w:name="_Toc14244"/>
      <w:r>
        <w:rPr>
          <w:rFonts w:hint="eastAsia"/>
          <w:lang w:val="en-US" w:eastAsia="zh-CN"/>
        </w:rPr>
        <w:t>第六章 参选</w:t>
      </w:r>
      <w:r>
        <w:rPr>
          <w:rFonts w:hint="eastAsia"/>
        </w:rPr>
        <w:t>文件格式</w:t>
      </w:r>
      <w:bookmarkEnd w:id="548"/>
      <w:bookmarkEnd w:id="549"/>
      <w:bookmarkEnd w:id="550"/>
      <w:bookmarkEnd w:id="551"/>
      <w:bookmarkEnd w:id="552"/>
      <w:bookmarkEnd w:id="553"/>
      <w:bookmarkEnd w:id="554"/>
      <w:bookmarkEnd w:id="555"/>
    </w:p>
    <w:p w14:paraId="4E34ED8C">
      <w:pPr>
        <w:widowControl/>
        <w:shd w:val="clear" w:color="auto" w:fill="FFFFFF"/>
        <w:snapToGrid w:val="0"/>
        <w:ind w:firstLine="883" w:firstLineChars="200"/>
        <w:jc w:val="center"/>
        <w:rPr>
          <w:rFonts w:asciiTheme="minorEastAsia" w:hAnsiTheme="minorEastAsia"/>
          <w:b/>
          <w:sz w:val="44"/>
          <w:szCs w:val="44"/>
        </w:rPr>
      </w:pPr>
    </w:p>
    <w:p w14:paraId="3427D504">
      <w:pPr>
        <w:widowControl/>
        <w:shd w:val="clear" w:color="auto" w:fill="FFFFFF"/>
        <w:snapToGrid w:val="0"/>
        <w:ind w:firstLine="422" w:firstLineChars="200"/>
        <w:jc w:val="left"/>
        <w:rPr>
          <w:rFonts w:asciiTheme="minorEastAsia" w:hAnsiTheme="minorEastAsia"/>
          <w:b/>
          <w:szCs w:val="21"/>
        </w:rPr>
      </w:pPr>
      <w:r>
        <w:rPr>
          <w:rFonts w:hint="eastAsia" w:asciiTheme="minorEastAsia" w:hAnsiTheme="minorEastAsia"/>
          <w:b/>
          <w:szCs w:val="21"/>
        </w:rPr>
        <w:t>1.</w:t>
      </w:r>
      <w:r>
        <w:rPr>
          <w:rFonts w:hint="eastAsia" w:asciiTheme="minorEastAsia" w:hAnsiTheme="minorEastAsia"/>
          <w:b/>
          <w:szCs w:val="21"/>
          <w:lang w:val="en-US" w:eastAsia="zh-CN"/>
        </w:rPr>
        <w:t>参选</w:t>
      </w:r>
      <w:r>
        <w:rPr>
          <w:rFonts w:hint="eastAsia" w:asciiTheme="minorEastAsia" w:hAnsiTheme="minorEastAsia"/>
          <w:b/>
          <w:szCs w:val="21"/>
        </w:rPr>
        <w:t>人应按本章规定格式编制提交</w:t>
      </w:r>
      <w:r>
        <w:rPr>
          <w:rFonts w:hint="eastAsia" w:asciiTheme="minorEastAsia" w:hAnsiTheme="minorEastAsia"/>
          <w:b/>
          <w:szCs w:val="21"/>
          <w:lang w:eastAsia="zh-CN"/>
        </w:rPr>
        <w:t>参选</w:t>
      </w:r>
      <w:r>
        <w:rPr>
          <w:rFonts w:hint="eastAsia" w:asciiTheme="minorEastAsia" w:hAnsiTheme="minorEastAsia"/>
          <w:b/>
          <w:szCs w:val="21"/>
        </w:rPr>
        <w:t>文件。</w:t>
      </w:r>
    </w:p>
    <w:p w14:paraId="2C21022F">
      <w:pPr>
        <w:widowControl/>
        <w:shd w:val="clear" w:color="auto" w:fill="FFFFFF"/>
        <w:snapToGrid w:val="0"/>
        <w:ind w:firstLine="422" w:firstLineChars="200"/>
        <w:jc w:val="left"/>
        <w:rPr>
          <w:rFonts w:asciiTheme="minorEastAsia" w:hAnsiTheme="minorEastAsia"/>
          <w:b/>
          <w:sz w:val="44"/>
          <w:szCs w:val="44"/>
        </w:rPr>
      </w:pPr>
      <w:r>
        <w:rPr>
          <w:rFonts w:ascii="宋体" w:hAnsi="宋体" w:cs="宋体"/>
          <w:b/>
          <w:bCs/>
          <w:szCs w:val="21"/>
        </w:rPr>
        <w:t>2</w:t>
      </w:r>
      <w:r>
        <w:rPr>
          <w:rFonts w:hint="eastAsia" w:ascii="宋体" w:hAnsi="宋体" w:cs="宋体"/>
          <w:b/>
          <w:bCs/>
          <w:szCs w:val="21"/>
        </w:rPr>
        <w:t>.本章格式文件中除另有说明外，</w:t>
      </w:r>
      <w:r>
        <w:rPr>
          <w:rFonts w:hint="eastAsia" w:ascii="宋体" w:hAnsi="宋体" w:cs="宋体"/>
          <w:b/>
          <w:bCs/>
          <w:szCs w:val="21"/>
          <w:lang w:val="en-US" w:eastAsia="zh-CN"/>
        </w:rPr>
        <w:t>参选文件</w:t>
      </w:r>
      <w:r>
        <w:rPr>
          <w:rFonts w:hint="eastAsia" w:ascii="宋体" w:hAnsi="宋体" w:cs="宋体"/>
          <w:b/>
          <w:bCs/>
          <w:szCs w:val="21"/>
        </w:rPr>
        <w:t>格式中的盖</w:t>
      </w:r>
      <w:r>
        <w:rPr>
          <w:rFonts w:hint="eastAsia" w:ascii="宋体" w:hAnsi="宋体" w:cs="宋体"/>
          <w:b/>
          <w:bCs/>
          <w:szCs w:val="21"/>
          <w:lang w:val="en-US" w:eastAsia="zh-CN"/>
        </w:rPr>
        <w:t>参选</w:t>
      </w:r>
      <w:r>
        <w:rPr>
          <w:rFonts w:hint="eastAsia" w:ascii="宋体" w:hAnsi="宋体" w:cs="宋体"/>
          <w:b/>
          <w:bCs/>
          <w:szCs w:val="21"/>
        </w:rPr>
        <w:t>人单位公章系指盖独立</w:t>
      </w:r>
      <w:r>
        <w:rPr>
          <w:rFonts w:hint="eastAsia" w:ascii="宋体" w:hAnsi="宋体" w:cs="宋体"/>
          <w:b/>
          <w:bCs/>
          <w:szCs w:val="21"/>
          <w:lang w:val="en-US" w:eastAsia="zh-CN"/>
        </w:rPr>
        <w:t>参选</w:t>
      </w:r>
      <w:r>
        <w:rPr>
          <w:rFonts w:hint="eastAsia" w:ascii="宋体" w:hAnsi="宋体" w:cs="宋体"/>
          <w:b/>
          <w:bCs/>
          <w:szCs w:val="21"/>
        </w:rPr>
        <w:t>人单位公章。</w:t>
      </w:r>
    </w:p>
    <w:p w14:paraId="44E8E8E7">
      <w:pPr>
        <w:widowControl/>
        <w:spacing w:line="240" w:lineRule="auto"/>
        <w:jc w:val="left"/>
        <w:rPr>
          <w:rFonts w:asciiTheme="minorEastAsia" w:hAnsiTheme="minorEastAsia"/>
          <w:b/>
          <w:sz w:val="44"/>
          <w:szCs w:val="44"/>
        </w:rPr>
      </w:pPr>
      <w:r>
        <w:rPr>
          <w:rFonts w:asciiTheme="minorEastAsia" w:hAnsiTheme="minorEastAsia"/>
          <w:b/>
          <w:sz w:val="44"/>
          <w:szCs w:val="44"/>
        </w:rPr>
        <w:br w:type="page"/>
      </w:r>
    </w:p>
    <w:p w14:paraId="1946AB83">
      <w:pPr>
        <w:pStyle w:val="6"/>
        <w:adjustRightInd w:val="0"/>
        <w:snapToGrid w:val="0"/>
        <w:spacing w:before="0" w:after="0" w:line="520" w:lineRule="exact"/>
        <w:jc w:val="left"/>
        <w:rPr>
          <w:sz w:val="28"/>
          <w:szCs w:val="28"/>
        </w:rPr>
      </w:pPr>
      <w:bookmarkStart w:id="556" w:name="_Toc7186475"/>
      <w:bookmarkStart w:id="557" w:name="_Toc51340285"/>
      <w:bookmarkStart w:id="558" w:name="_Toc120110850"/>
      <w:bookmarkStart w:id="559" w:name="_Toc515441373"/>
      <w:bookmarkStart w:id="560" w:name="_Toc50734546"/>
      <w:bookmarkStart w:id="561" w:name="_Toc46475209"/>
      <w:r>
        <w:rPr>
          <w:rFonts w:hint="eastAsia"/>
          <w:sz w:val="28"/>
          <w:szCs w:val="28"/>
          <w:lang w:val="en-US" w:eastAsia="zh-CN"/>
        </w:rPr>
        <w:t>参选</w:t>
      </w:r>
      <w:r>
        <w:rPr>
          <w:rFonts w:hint="eastAsia"/>
          <w:sz w:val="28"/>
          <w:szCs w:val="28"/>
        </w:rPr>
        <w:t>文件（格式）</w:t>
      </w:r>
      <w:bookmarkEnd w:id="556"/>
      <w:bookmarkEnd w:id="557"/>
      <w:bookmarkEnd w:id="558"/>
      <w:bookmarkEnd w:id="559"/>
      <w:bookmarkEnd w:id="560"/>
      <w:bookmarkEnd w:id="561"/>
    </w:p>
    <w:p w14:paraId="41CFE046">
      <w:pPr>
        <w:widowControl/>
        <w:shd w:val="clear" w:color="auto" w:fill="FFFFFF"/>
        <w:snapToGrid w:val="0"/>
        <w:jc w:val="center"/>
        <w:rPr>
          <w:rFonts w:asciiTheme="minorEastAsia" w:hAnsiTheme="minorEastAsia"/>
          <w:b/>
          <w:sz w:val="32"/>
          <w:szCs w:val="32"/>
        </w:rPr>
      </w:pPr>
    </w:p>
    <w:p w14:paraId="1F334863">
      <w:pPr>
        <w:widowControl/>
        <w:shd w:val="clear" w:color="auto" w:fill="FFFFFF"/>
        <w:snapToGrid w:val="0"/>
        <w:jc w:val="center"/>
        <w:rPr>
          <w:rFonts w:asciiTheme="minorEastAsia" w:hAnsiTheme="minorEastAsia"/>
          <w:b/>
          <w:sz w:val="32"/>
          <w:szCs w:val="32"/>
        </w:rPr>
      </w:pPr>
    </w:p>
    <w:p w14:paraId="733D8C06">
      <w:pPr>
        <w:widowControl/>
        <w:shd w:val="clear" w:color="auto" w:fill="FFFFFF"/>
        <w:snapToGrid w:val="0"/>
        <w:ind w:right="-227" w:rightChars="-108"/>
        <w:jc w:val="center"/>
        <w:rPr>
          <w:b/>
          <w:sz w:val="44"/>
          <w:szCs w:val="44"/>
          <w:highlight w:val="none"/>
        </w:rPr>
      </w:pPr>
      <w:r>
        <w:rPr>
          <w:rFonts w:hint="eastAsia"/>
          <w:b/>
          <w:sz w:val="44"/>
          <w:szCs w:val="44"/>
          <w:highlight w:val="none"/>
        </w:rPr>
        <w:t>漳州市东南部沿海地区九龙江调水工程</w:t>
      </w:r>
    </w:p>
    <w:p w14:paraId="4C14E21C">
      <w:pPr>
        <w:widowControl/>
        <w:shd w:val="clear" w:color="auto" w:fill="FFFFFF"/>
        <w:snapToGrid w:val="0"/>
        <w:ind w:right="-227" w:rightChars="-108"/>
        <w:jc w:val="center"/>
        <w:rPr>
          <w:rFonts w:hint="eastAsia" w:eastAsiaTheme="minorEastAsia"/>
          <w:b/>
          <w:color w:val="FF0000"/>
          <w:sz w:val="44"/>
          <w:szCs w:val="44"/>
          <w:highlight w:val="none"/>
          <w:lang w:eastAsia="zh-CN"/>
        </w:rPr>
      </w:pPr>
      <w:r>
        <w:rPr>
          <w:rFonts w:hint="eastAsia"/>
          <w:b/>
          <w:sz w:val="44"/>
          <w:szCs w:val="44"/>
          <w:highlight w:val="none"/>
        </w:rPr>
        <w:t>阀门类采购项目</w:t>
      </w:r>
      <w:r>
        <w:rPr>
          <w:rFonts w:hint="eastAsia"/>
          <w:b/>
          <w:sz w:val="44"/>
          <w:szCs w:val="44"/>
          <w:highlight w:val="none"/>
          <w:lang w:eastAsia="zh-CN"/>
        </w:rPr>
        <w:t>（</w:t>
      </w:r>
      <w:r>
        <w:rPr>
          <w:rFonts w:hint="eastAsia"/>
          <w:b/>
          <w:sz w:val="44"/>
          <w:szCs w:val="44"/>
          <w:highlight w:val="none"/>
          <w:lang w:val="en-US" w:eastAsia="zh-CN"/>
        </w:rPr>
        <w:t>重新招选</w:t>
      </w:r>
      <w:r>
        <w:rPr>
          <w:rFonts w:hint="eastAsia"/>
          <w:b/>
          <w:sz w:val="44"/>
          <w:szCs w:val="44"/>
          <w:highlight w:val="none"/>
          <w:lang w:eastAsia="zh-CN"/>
        </w:rPr>
        <w:t>）</w:t>
      </w:r>
    </w:p>
    <w:p w14:paraId="7C7FD5EA">
      <w:pPr>
        <w:widowControl/>
        <w:shd w:val="clear" w:color="auto" w:fill="FFFFFF"/>
        <w:snapToGrid w:val="0"/>
        <w:ind w:right="-227" w:rightChars="-108"/>
        <w:jc w:val="center"/>
        <w:rPr>
          <w:b/>
          <w:sz w:val="44"/>
          <w:szCs w:val="44"/>
          <w:highlight w:val="none"/>
        </w:rPr>
      </w:pPr>
    </w:p>
    <w:p w14:paraId="441BFEA2">
      <w:pPr>
        <w:widowControl/>
        <w:shd w:val="clear" w:color="auto" w:fill="FFFFFF"/>
        <w:snapToGrid w:val="0"/>
        <w:ind w:right="-227" w:rightChars="-108"/>
        <w:jc w:val="center"/>
        <w:rPr>
          <w:b/>
          <w:sz w:val="36"/>
          <w:szCs w:val="36"/>
          <w:highlight w:val="none"/>
        </w:rPr>
      </w:pPr>
      <w:r>
        <w:rPr>
          <w:rFonts w:hint="eastAsia"/>
          <w:b/>
          <w:sz w:val="36"/>
          <w:szCs w:val="36"/>
          <w:highlight w:val="none"/>
        </w:rPr>
        <w:t>（</w:t>
      </w:r>
      <w:r>
        <w:rPr>
          <w:rFonts w:hint="eastAsia"/>
          <w:b/>
          <w:sz w:val="36"/>
          <w:szCs w:val="36"/>
          <w:highlight w:val="none"/>
          <w:lang w:eastAsia="zh-CN"/>
        </w:rPr>
        <w:t>招选</w:t>
      </w:r>
      <w:r>
        <w:rPr>
          <w:rFonts w:hint="eastAsia"/>
          <w:b/>
          <w:sz w:val="36"/>
          <w:szCs w:val="36"/>
          <w:highlight w:val="none"/>
        </w:rPr>
        <w:t>编号：</w:t>
      </w:r>
      <w:r>
        <w:rPr>
          <w:rFonts w:hint="eastAsia"/>
          <w:b/>
          <w:sz w:val="36"/>
          <w:szCs w:val="36"/>
          <w:highlight w:val="none"/>
          <w:lang w:val="en-US" w:eastAsia="zh-CN"/>
        </w:rPr>
        <w:t>SLSD</w:t>
      </w:r>
      <w:r>
        <w:rPr>
          <w:rFonts w:hint="eastAsia"/>
          <w:b/>
          <w:sz w:val="36"/>
          <w:szCs w:val="36"/>
          <w:highlight w:val="none"/>
        </w:rPr>
        <w:t>-</w:t>
      </w:r>
      <w:r>
        <w:rPr>
          <w:rFonts w:hint="eastAsia"/>
          <w:b/>
          <w:sz w:val="36"/>
          <w:szCs w:val="36"/>
          <w:highlight w:val="none"/>
          <w:lang w:val="en-US" w:eastAsia="zh-CN"/>
        </w:rPr>
        <w:t>JLJFM</w:t>
      </w:r>
      <w:r>
        <w:rPr>
          <w:rFonts w:hint="eastAsia"/>
          <w:b/>
          <w:sz w:val="36"/>
          <w:szCs w:val="36"/>
          <w:highlight w:val="none"/>
        </w:rPr>
        <w:t>-</w:t>
      </w:r>
      <w:r>
        <w:rPr>
          <w:rFonts w:hint="eastAsia"/>
          <w:b/>
          <w:color w:val="auto"/>
          <w:sz w:val="36"/>
          <w:szCs w:val="36"/>
          <w:highlight w:val="none"/>
        </w:rPr>
        <w:t>202</w:t>
      </w:r>
      <w:r>
        <w:rPr>
          <w:rFonts w:hint="eastAsia"/>
          <w:b/>
          <w:color w:val="auto"/>
          <w:sz w:val="36"/>
          <w:szCs w:val="36"/>
          <w:highlight w:val="none"/>
          <w:lang w:val="en-US" w:eastAsia="zh-CN"/>
        </w:rPr>
        <w:t>6</w:t>
      </w:r>
      <w:r>
        <w:rPr>
          <w:rFonts w:hint="eastAsia"/>
          <w:b/>
          <w:color w:val="auto"/>
          <w:sz w:val="36"/>
          <w:szCs w:val="36"/>
          <w:highlight w:val="none"/>
        </w:rPr>
        <w:t>-</w:t>
      </w:r>
      <w:r>
        <w:rPr>
          <w:b/>
          <w:color w:val="auto"/>
          <w:sz w:val="36"/>
          <w:szCs w:val="36"/>
          <w:highlight w:val="none"/>
        </w:rPr>
        <w:t>00</w:t>
      </w:r>
      <w:r>
        <w:rPr>
          <w:rFonts w:hint="eastAsia"/>
          <w:b/>
          <w:color w:val="auto"/>
          <w:sz w:val="36"/>
          <w:szCs w:val="36"/>
          <w:highlight w:val="none"/>
          <w:lang w:val="en-US" w:eastAsia="zh-CN"/>
        </w:rPr>
        <w:t>1</w:t>
      </w:r>
      <w:r>
        <w:rPr>
          <w:rFonts w:hint="eastAsia"/>
          <w:b/>
          <w:sz w:val="36"/>
          <w:szCs w:val="36"/>
          <w:highlight w:val="none"/>
        </w:rPr>
        <w:t>）</w:t>
      </w:r>
    </w:p>
    <w:p w14:paraId="403658D3">
      <w:pPr>
        <w:widowControl/>
        <w:shd w:val="clear" w:color="auto" w:fill="FFFFFF"/>
        <w:snapToGrid w:val="0"/>
        <w:ind w:right="-227" w:rightChars="-108"/>
        <w:jc w:val="center"/>
        <w:rPr>
          <w:b/>
          <w:sz w:val="36"/>
          <w:szCs w:val="36"/>
          <w:highlight w:val="none"/>
        </w:rPr>
      </w:pPr>
    </w:p>
    <w:p w14:paraId="75C52A7D">
      <w:pPr>
        <w:widowControl/>
        <w:shd w:val="clear" w:color="auto" w:fill="FFFFFF"/>
        <w:snapToGrid w:val="0"/>
        <w:ind w:right="-227" w:rightChars="-108"/>
        <w:jc w:val="center"/>
        <w:rPr>
          <w:b/>
          <w:sz w:val="36"/>
          <w:szCs w:val="36"/>
          <w:highlight w:val="none"/>
        </w:rPr>
      </w:pPr>
    </w:p>
    <w:p w14:paraId="212B0BE9">
      <w:pPr>
        <w:widowControl/>
        <w:shd w:val="clear" w:color="auto" w:fill="FFFFFF"/>
        <w:snapToGrid w:val="0"/>
        <w:ind w:right="-227" w:rightChars="-108"/>
        <w:jc w:val="center"/>
        <w:rPr>
          <w:b/>
          <w:sz w:val="36"/>
          <w:szCs w:val="36"/>
          <w:highlight w:val="none"/>
        </w:rPr>
      </w:pPr>
    </w:p>
    <w:p w14:paraId="507F32E0">
      <w:pPr>
        <w:widowControl/>
        <w:shd w:val="clear" w:color="auto" w:fill="FFFFFF"/>
        <w:snapToGrid w:val="0"/>
        <w:ind w:right="-227" w:rightChars="-108"/>
        <w:jc w:val="center"/>
        <w:rPr>
          <w:b/>
          <w:sz w:val="36"/>
          <w:szCs w:val="36"/>
          <w:highlight w:val="none"/>
        </w:rPr>
      </w:pPr>
    </w:p>
    <w:p w14:paraId="38950EB4">
      <w:pPr>
        <w:widowControl/>
        <w:shd w:val="clear" w:color="auto" w:fill="FFFFFF"/>
        <w:snapToGrid w:val="0"/>
        <w:ind w:right="-227" w:rightChars="-108"/>
        <w:jc w:val="center"/>
        <w:rPr>
          <w:b/>
          <w:sz w:val="36"/>
          <w:szCs w:val="36"/>
          <w:highlight w:val="none"/>
        </w:rPr>
      </w:pPr>
    </w:p>
    <w:p w14:paraId="4941DAC8">
      <w:pPr>
        <w:widowControl/>
        <w:shd w:val="clear" w:color="auto" w:fill="FFFFFF"/>
        <w:snapToGrid w:val="0"/>
        <w:ind w:right="-227" w:rightChars="-108"/>
        <w:jc w:val="center"/>
        <w:rPr>
          <w:b/>
          <w:sz w:val="36"/>
          <w:szCs w:val="36"/>
          <w:highlight w:val="none"/>
        </w:rPr>
      </w:pPr>
    </w:p>
    <w:p w14:paraId="0E5FF43F">
      <w:pPr>
        <w:widowControl/>
        <w:shd w:val="clear" w:color="auto" w:fill="FFFFFF"/>
        <w:snapToGrid w:val="0"/>
        <w:jc w:val="center"/>
        <w:rPr>
          <w:rFonts w:asciiTheme="minorEastAsia" w:hAnsiTheme="minorEastAsia"/>
          <w:b/>
          <w:sz w:val="52"/>
          <w:szCs w:val="52"/>
          <w:highlight w:val="none"/>
        </w:rPr>
      </w:pPr>
      <w:bookmarkStart w:id="562" w:name="_Toc511645171"/>
      <w:bookmarkStart w:id="563" w:name="_Toc511644557"/>
      <w:r>
        <w:rPr>
          <w:rFonts w:hint="eastAsia" w:asciiTheme="minorEastAsia" w:hAnsiTheme="minorEastAsia"/>
          <w:b/>
          <w:sz w:val="52"/>
          <w:szCs w:val="52"/>
          <w:highlight w:val="none"/>
          <w:lang w:val="en-US" w:eastAsia="zh-CN"/>
        </w:rPr>
        <w:t>参选</w:t>
      </w:r>
      <w:r>
        <w:rPr>
          <w:rFonts w:hint="eastAsia" w:asciiTheme="minorEastAsia" w:hAnsiTheme="minorEastAsia"/>
          <w:b/>
          <w:sz w:val="52"/>
          <w:szCs w:val="52"/>
          <w:highlight w:val="none"/>
        </w:rPr>
        <w:t>文件</w:t>
      </w:r>
      <w:bookmarkEnd w:id="562"/>
      <w:bookmarkEnd w:id="563"/>
    </w:p>
    <w:p w14:paraId="1EE8DFBA">
      <w:pPr>
        <w:widowControl/>
        <w:shd w:val="clear" w:color="auto" w:fill="FFFFFF"/>
        <w:snapToGrid w:val="0"/>
        <w:jc w:val="center"/>
        <w:rPr>
          <w:rFonts w:asciiTheme="minorEastAsia" w:hAnsiTheme="minorEastAsia"/>
          <w:b/>
          <w:sz w:val="32"/>
          <w:szCs w:val="32"/>
          <w:highlight w:val="none"/>
        </w:rPr>
      </w:pPr>
    </w:p>
    <w:p w14:paraId="024023DC">
      <w:pPr>
        <w:widowControl/>
        <w:shd w:val="clear" w:color="auto" w:fill="FFFFFF"/>
        <w:snapToGrid w:val="0"/>
        <w:jc w:val="center"/>
        <w:rPr>
          <w:rFonts w:asciiTheme="minorEastAsia" w:hAnsiTheme="minorEastAsia"/>
          <w:b/>
          <w:sz w:val="32"/>
          <w:szCs w:val="32"/>
          <w:highlight w:val="none"/>
        </w:rPr>
      </w:pPr>
    </w:p>
    <w:p w14:paraId="7C3F0CC6">
      <w:pPr>
        <w:widowControl/>
        <w:shd w:val="clear" w:color="auto" w:fill="FFFFFF"/>
        <w:snapToGrid w:val="0"/>
        <w:jc w:val="center"/>
        <w:rPr>
          <w:rFonts w:asciiTheme="minorEastAsia" w:hAnsiTheme="minorEastAsia"/>
          <w:b/>
          <w:sz w:val="32"/>
          <w:szCs w:val="32"/>
          <w:highlight w:val="none"/>
        </w:rPr>
      </w:pPr>
    </w:p>
    <w:p w14:paraId="34C7141C">
      <w:pPr>
        <w:widowControl/>
        <w:shd w:val="clear" w:color="auto" w:fill="FFFFFF"/>
        <w:snapToGrid w:val="0"/>
        <w:rPr>
          <w:rFonts w:asciiTheme="minorEastAsia" w:hAnsiTheme="minorEastAsia"/>
          <w:b/>
          <w:sz w:val="32"/>
          <w:szCs w:val="32"/>
          <w:highlight w:val="none"/>
        </w:rPr>
      </w:pPr>
    </w:p>
    <w:p w14:paraId="2F072E7F">
      <w:pPr>
        <w:widowControl/>
        <w:shd w:val="clear" w:color="auto" w:fill="FFFFFF"/>
        <w:snapToGrid w:val="0"/>
        <w:jc w:val="center"/>
        <w:rPr>
          <w:rFonts w:asciiTheme="minorEastAsia" w:hAnsiTheme="minorEastAsia"/>
          <w:b/>
          <w:sz w:val="32"/>
          <w:szCs w:val="32"/>
          <w:highlight w:val="none"/>
        </w:rPr>
      </w:pPr>
    </w:p>
    <w:p w14:paraId="2E712510">
      <w:pPr>
        <w:widowControl/>
        <w:shd w:val="clear" w:color="auto" w:fill="FFFFFF"/>
        <w:snapToGrid w:val="0"/>
        <w:jc w:val="center"/>
        <w:rPr>
          <w:rFonts w:asciiTheme="minorEastAsia" w:hAnsiTheme="minorEastAsia"/>
          <w:b/>
          <w:sz w:val="32"/>
          <w:szCs w:val="32"/>
          <w:highlight w:val="none"/>
        </w:rPr>
      </w:pPr>
    </w:p>
    <w:p w14:paraId="5BAEECED">
      <w:pPr>
        <w:widowControl/>
        <w:shd w:val="clear" w:color="auto" w:fill="FFFFFF"/>
        <w:snapToGrid w:val="0"/>
        <w:jc w:val="center"/>
        <w:rPr>
          <w:rFonts w:asciiTheme="minorEastAsia" w:hAnsiTheme="minorEastAsia"/>
          <w:b/>
          <w:sz w:val="32"/>
          <w:szCs w:val="32"/>
          <w:highlight w:val="none"/>
        </w:rPr>
      </w:pPr>
    </w:p>
    <w:p w14:paraId="6660C163">
      <w:pPr>
        <w:widowControl/>
        <w:shd w:val="clear" w:color="auto" w:fill="FFFFFF"/>
        <w:snapToGrid w:val="0"/>
        <w:jc w:val="center"/>
        <w:rPr>
          <w:rFonts w:asciiTheme="minorEastAsia" w:hAnsiTheme="minorEastAsia"/>
          <w:b/>
          <w:sz w:val="32"/>
          <w:szCs w:val="32"/>
          <w:highlight w:val="none"/>
        </w:rPr>
      </w:pPr>
    </w:p>
    <w:p w14:paraId="50115795">
      <w:pPr>
        <w:widowControl/>
        <w:shd w:val="clear" w:color="auto" w:fill="FFFFFF"/>
        <w:snapToGrid w:val="0"/>
        <w:ind w:firstLine="1285" w:firstLineChars="400"/>
        <w:jc w:val="left"/>
        <w:rPr>
          <w:rFonts w:asciiTheme="minorEastAsia" w:hAnsiTheme="minorEastAsia"/>
          <w:b/>
          <w:sz w:val="32"/>
          <w:szCs w:val="32"/>
          <w:highlight w:val="none"/>
        </w:rPr>
      </w:pPr>
      <w:r>
        <w:rPr>
          <w:rFonts w:hint="eastAsia" w:asciiTheme="minorEastAsia" w:hAnsiTheme="minorEastAsia"/>
          <w:b/>
          <w:sz w:val="32"/>
          <w:szCs w:val="32"/>
          <w:highlight w:val="none"/>
          <w:lang w:val="en-US" w:eastAsia="zh-CN"/>
        </w:rPr>
        <w:t>参选</w:t>
      </w:r>
      <w:r>
        <w:rPr>
          <w:rFonts w:hint="eastAsia" w:asciiTheme="minorEastAsia" w:hAnsiTheme="minorEastAsia"/>
          <w:b/>
          <w:sz w:val="32"/>
          <w:szCs w:val="32"/>
          <w:highlight w:val="none"/>
        </w:rPr>
        <w:t>人：</w:t>
      </w:r>
      <w:r>
        <w:rPr>
          <w:rFonts w:hint="eastAsia" w:asciiTheme="minorEastAsia" w:hAnsiTheme="minorEastAsia"/>
          <w:szCs w:val="21"/>
          <w:highlight w:val="none"/>
        </w:rPr>
        <w:t>_______________________</w:t>
      </w:r>
      <w:r>
        <w:rPr>
          <w:rFonts w:hint="eastAsia" w:asciiTheme="minorEastAsia" w:hAnsiTheme="minorEastAsia"/>
          <w:b/>
          <w:sz w:val="32"/>
          <w:szCs w:val="32"/>
          <w:highlight w:val="none"/>
        </w:rPr>
        <w:t>（盖单位章）</w:t>
      </w:r>
    </w:p>
    <w:p w14:paraId="3E0117D4">
      <w:pPr>
        <w:widowControl/>
        <w:shd w:val="clear" w:color="auto" w:fill="FFFFFF"/>
        <w:snapToGrid w:val="0"/>
        <w:ind w:firstLine="1285" w:firstLineChars="400"/>
        <w:jc w:val="left"/>
        <w:rPr>
          <w:rFonts w:asciiTheme="minorEastAsia" w:hAnsiTheme="minorEastAsia"/>
          <w:b/>
          <w:sz w:val="32"/>
          <w:szCs w:val="32"/>
          <w:highlight w:val="none"/>
        </w:rPr>
      </w:pPr>
      <w:r>
        <w:rPr>
          <w:rFonts w:hint="eastAsia" w:asciiTheme="minorEastAsia" w:hAnsiTheme="minorEastAsia"/>
          <w:b/>
          <w:sz w:val="32"/>
          <w:szCs w:val="32"/>
          <w:highlight w:val="none"/>
        </w:rPr>
        <w:t>日期：__________年______月_____日</w:t>
      </w:r>
    </w:p>
    <w:p w14:paraId="103268CD">
      <w:pPr>
        <w:widowControl/>
        <w:spacing w:line="240" w:lineRule="auto"/>
        <w:jc w:val="left"/>
        <w:rPr>
          <w:rFonts w:asciiTheme="minorEastAsia" w:hAnsiTheme="minorEastAsia"/>
          <w:b/>
          <w:sz w:val="32"/>
          <w:szCs w:val="32"/>
          <w:highlight w:val="none"/>
        </w:rPr>
      </w:pPr>
    </w:p>
    <w:p w14:paraId="712A81C4">
      <w:pPr>
        <w:widowControl/>
        <w:shd w:val="clear" w:color="auto" w:fill="FFFFFF"/>
        <w:snapToGrid w:val="0"/>
        <w:ind w:firstLine="1285" w:firstLineChars="400"/>
        <w:jc w:val="left"/>
        <w:rPr>
          <w:rFonts w:asciiTheme="minorEastAsia" w:hAnsiTheme="minorEastAsia"/>
          <w:b/>
          <w:sz w:val="32"/>
          <w:szCs w:val="32"/>
          <w:highlight w:val="none"/>
        </w:rPr>
      </w:pPr>
    </w:p>
    <w:p w14:paraId="530C48C1">
      <w:pPr>
        <w:pStyle w:val="6"/>
        <w:adjustRightInd w:val="0"/>
        <w:snapToGrid w:val="0"/>
        <w:spacing w:before="0" w:after="0" w:line="520" w:lineRule="exact"/>
        <w:jc w:val="left"/>
        <w:rPr>
          <w:sz w:val="28"/>
          <w:szCs w:val="28"/>
          <w:highlight w:val="none"/>
        </w:rPr>
      </w:pPr>
      <w:bookmarkStart w:id="564" w:name="_Toc511645172"/>
      <w:bookmarkStart w:id="565" w:name="_Toc511644558"/>
      <w:bookmarkStart w:id="566" w:name="_Toc120110851"/>
      <w:bookmarkStart w:id="567" w:name="_Toc7186476"/>
      <w:bookmarkStart w:id="568" w:name="_Toc50734547"/>
      <w:bookmarkStart w:id="569" w:name="_Toc515441374"/>
      <w:bookmarkStart w:id="570" w:name="_Toc46475210"/>
      <w:bookmarkStart w:id="571" w:name="_Toc51340286"/>
      <w:r>
        <w:rPr>
          <w:rFonts w:hint="eastAsia"/>
          <w:sz w:val="28"/>
          <w:szCs w:val="28"/>
          <w:highlight w:val="none"/>
        </w:rPr>
        <w:t>目录</w:t>
      </w:r>
      <w:bookmarkEnd w:id="564"/>
      <w:bookmarkEnd w:id="565"/>
      <w:r>
        <w:rPr>
          <w:rFonts w:hint="eastAsia"/>
          <w:sz w:val="28"/>
          <w:szCs w:val="28"/>
          <w:highlight w:val="none"/>
        </w:rPr>
        <w:t>（格式）</w:t>
      </w:r>
      <w:bookmarkEnd w:id="566"/>
      <w:bookmarkEnd w:id="567"/>
      <w:bookmarkEnd w:id="568"/>
      <w:bookmarkEnd w:id="569"/>
      <w:bookmarkEnd w:id="570"/>
      <w:bookmarkEnd w:id="571"/>
    </w:p>
    <w:p w14:paraId="37725456">
      <w:pPr>
        <w:widowControl/>
        <w:shd w:val="clear" w:color="auto" w:fill="FFFFFF"/>
        <w:snapToGrid w:val="0"/>
        <w:jc w:val="center"/>
        <w:rPr>
          <w:rFonts w:asciiTheme="minorEastAsia" w:hAnsiTheme="minorEastAsia"/>
          <w:sz w:val="36"/>
          <w:szCs w:val="36"/>
          <w:highlight w:val="none"/>
        </w:rPr>
      </w:pPr>
      <w:r>
        <w:rPr>
          <w:rFonts w:asciiTheme="minorEastAsia" w:hAnsiTheme="minorEastAsia"/>
          <w:sz w:val="36"/>
          <w:szCs w:val="36"/>
          <w:highlight w:val="none"/>
        </w:rPr>
        <w:t>目录</w:t>
      </w:r>
    </w:p>
    <w:p w14:paraId="3CD76837">
      <w:pPr>
        <w:spacing w:line="360" w:lineRule="auto"/>
        <w:ind w:firstLine="588" w:firstLineChars="245"/>
        <w:rPr>
          <w:rFonts w:ascii="宋体" w:hAnsi="宋体" w:cs="宋体"/>
          <w:sz w:val="24"/>
          <w:highlight w:val="none"/>
        </w:rPr>
      </w:pPr>
      <w:r>
        <w:rPr>
          <w:rFonts w:hint="eastAsia" w:ascii="宋体" w:hAnsi="宋体" w:cs="宋体"/>
          <w:sz w:val="24"/>
          <w:highlight w:val="none"/>
          <w:lang w:bidi="ar"/>
        </w:rPr>
        <w:t>（1）</w:t>
      </w:r>
      <w:r>
        <w:rPr>
          <w:rFonts w:hint="eastAsia" w:ascii="宋体" w:hAnsi="宋体" w:cs="宋体"/>
          <w:sz w:val="24"/>
          <w:highlight w:val="none"/>
          <w:lang w:val="en-US" w:eastAsia="zh-CN" w:bidi="ar"/>
        </w:rPr>
        <w:t>参选</w:t>
      </w:r>
      <w:r>
        <w:rPr>
          <w:rFonts w:hint="eastAsia" w:ascii="宋体" w:hAnsi="宋体" w:cs="宋体"/>
          <w:sz w:val="24"/>
          <w:highlight w:val="none"/>
          <w:lang w:bidi="ar"/>
        </w:rPr>
        <w:t>函</w:t>
      </w:r>
    </w:p>
    <w:p w14:paraId="18467F42">
      <w:pPr>
        <w:spacing w:line="360" w:lineRule="auto"/>
        <w:ind w:firstLine="588" w:firstLineChars="245"/>
        <w:rPr>
          <w:rFonts w:ascii="宋体" w:hAnsi="宋体" w:cs="宋体"/>
          <w:sz w:val="24"/>
          <w:highlight w:val="none"/>
        </w:rPr>
      </w:pPr>
      <w:r>
        <w:rPr>
          <w:rFonts w:hint="eastAsia" w:ascii="宋体" w:hAnsi="宋体" w:cs="宋体"/>
          <w:sz w:val="24"/>
          <w:highlight w:val="none"/>
          <w:lang w:bidi="ar"/>
        </w:rPr>
        <w:t>（2）报价函</w:t>
      </w:r>
    </w:p>
    <w:p w14:paraId="6BCD0413">
      <w:pPr>
        <w:spacing w:line="360" w:lineRule="auto"/>
        <w:ind w:firstLine="588" w:firstLineChars="245"/>
        <w:rPr>
          <w:rFonts w:hint="eastAsia" w:ascii="宋体" w:hAnsi="宋体" w:cs="宋体"/>
          <w:color w:val="auto"/>
          <w:sz w:val="24"/>
          <w:highlight w:val="none"/>
          <w:lang w:val="en-US" w:eastAsia="zh-CN" w:bidi="ar"/>
        </w:rPr>
      </w:pPr>
      <w:r>
        <w:rPr>
          <w:rFonts w:hint="eastAsia" w:ascii="宋体" w:hAnsi="宋体" w:cs="宋体"/>
          <w:color w:val="auto"/>
          <w:sz w:val="24"/>
          <w:highlight w:val="none"/>
          <w:lang w:bidi="ar"/>
        </w:rPr>
        <w:t>（3）</w:t>
      </w:r>
      <w:r>
        <w:rPr>
          <w:rFonts w:hint="eastAsia" w:ascii="宋体" w:hAnsi="宋体" w:cs="宋体"/>
          <w:color w:val="auto"/>
          <w:sz w:val="24"/>
          <w:highlight w:val="none"/>
          <w:lang w:val="en-US" w:eastAsia="zh-CN" w:bidi="ar"/>
        </w:rPr>
        <w:t>采购清单报价表</w:t>
      </w:r>
    </w:p>
    <w:p w14:paraId="71D5CC51">
      <w:pPr>
        <w:spacing w:line="360" w:lineRule="auto"/>
        <w:ind w:firstLine="588" w:firstLineChars="245"/>
        <w:rPr>
          <w:rFonts w:ascii="宋体" w:hAnsi="宋体" w:cs="宋体"/>
          <w:bCs/>
          <w:sz w:val="24"/>
          <w:highlight w:val="none"/>
        </w:rPr>
      </w:pPr>
      <w:r>
        <w:rPr>
          <w:rFonts w:hint="eastAsia" w:ascii="宋体" w:hAnsi="宋体" w:cs="宋体"/>
          <w:sz w:val="24"/>
          <w:highlight w:val="none"/>
          <w:lang w:bidi="ar"/>
        </w:rPr>
        <w:t>（4）</w:t>
      </w:r>
      <w:r>
        <w:rPr>
          <w:rFonts w:hint="eastAsia" w:ascii="宋体" w:hAnsi="宋体" w:cs="宋体"/>
          <w:sz w:val="24"/>
          <w:highlight w:val="none"/>
          <w:lang w:val="en-US" w:eastAsia="zh-CN" w:bidi="ar"/>
        </w:rPr>
        <w:t>参选</w:t>
      </w:r>
      <w:r>
        <w:rPr>
          <w:rFonts w:hint="eastAsia" w:ascii="宋体" w:hAnsi="宋体" w:cs="宋体"/>
          <w:sz w:val="24"/>
          <w:highlight w:val="none"/>
          <w:lang w:bidi="ar"/>
        </w:rPr>
        <w:t>人</w:t>
      </w:r>
      <w:r>
        <w:rPr>
          <w:rFonts w:hint="eastAsia" w:ascii="宋体" w:hAnsi="宋体" w:cs="宋体"/>
          <w:bCs/>
          <w:sz w:val="24"/>
          <w:highlight w:val="none"/>
          <w:lang w:bidi="ar"/>
        </w:rPr>
        <w:t>的资格证明文件</w:t>
      </w:r>
    </w:p>
    <w:p w14:paraId="4FFD3B82">
      <w:pPr>
        <w:spacing w:line="360" w:lineRule="auto"/>
        <w:ind w:firstLine="600" w:firstLineChars="250"/>
        <w:outlineLvl w:val="1"/>
        <w:rPr>
          <w:rFonts w:ascii="宋体" w:hAnsi="宋体" w:cs="宋体"/>
          <w:bCs/>
          <w:sz w:val="24"/>
          <w:highlight w:val="none"/>
          <w:lang w:bidi="ar"/>
        </w:rPr>
      </w:pPr>
      <w:bookmarkStart w:id="572" w:name="_Toc120110852"/>
      <w:r>
        <w:rPr>
          <w:rFonts w:hint="eastAsia" w:ascii="宋体" w:hAnsi="宋体" w:cs="宋体"/>
          <w:bCs/>
          <w:sz w:val="24"/>
          <w:highlight w:val="none"/>
          <w:lang w:bidi="ar"/>
        </w:rPr>
        <w:t>（5）</w:t>
      </w:r>
      <w:r>
        <w:rPr>
          <w:rFonts w:hint="eastAsia" w:ascii="宋体" w:hAnsi="宋体" w:cs="宋体"/>
          <w:bCs/>
          <w:sz w:val="24"/>
          <w:highlight w:val="none"/>
          <w:lang w:val="en-US" w:eastAsia="zh-CN" w:bidi="ar"/>
        </w:rPr>
        <w:t>参选</w:t>
      </w:r>
      <w:r>
        <w:rPr>
          <w:rFonts w:hint="eastAsia" w:ascii="宋体" w:hAnsi="宋体" w:cs="宋体"/>
          <w:bCs/>
          <w:sz w:val="24"/>
          <w:highlight w:val="none"/>
          <w:lang w:bidi="ar"/>
        </w:rPr>
        <w:t>承诺函</w:t>
      </w:r>
      <w:bookmarkEnd w:id="572"/>
    </w:p>
    <w:p w14:paraId="7981783F">
      <w:pPr>
        <w:spacing w:line="360" w:lineRule="auto"/>
        <w:ind w:firstLine="600" w:firstLineChars="250"/>
        <w:outlineLvl w:val="1"/>
        <w:rPr>
          <w:rFonts w:ascii="宋体" w:hAnsi="宋体" w:cs="宋体"/>
          <w:bCs/>
          <w:sz w:val="24"/>
          <w:highlight w:val="none"/>
        </w:rPr>
      </w:pPr>
      <w:bookmarkStart w:id="573" w:name="_Toc120110853"/>
      <w:r>
        <w:rPr>
          <w:rFonts w:hint="eastAsia" w:ascii="宋体" w:hAnsi="宋体" w:cs="宋体"/>
          <w:bCs/>
          <w:sz w:val="24"/>
          <w:highlight w:val="none"/>
          <w:lang w:bidi="ar"/>
        </w:rPr>
        <w:t>（</w:t>
      </w:r>
      <w:r>
        <w:rPr>
          <w:rFonts w:ascii="宋体" w:hAnsi="宋体" w:cs="宋体"/>
          <w:bCs/>
          <w:sz w:val="24"/>
          <w:highlight w:val="none"/>
          <w:lang w:bidi="ar"/>
        </w:rPr>
        <w:t>6</w:t>
      </w:r>
      <w:r>
        <w:rPr>
          <w:rFonts w:hint="eastAsia" w:ascii="宋体" w:hAnsi="宋体" w:cs="宋体"/>
          <w:bCs/>
          <w:sz w:val="24"/>
          <w:highlight w:val="none"/>
          <w:lang w:bidi="ar"/>
        </w:rPr>
        <w:t>）</w:t>
      </w:r>
      <w:r>
        <w:rPr>
          <w:rFonts w:hint="eastAsia" w:ascii="宋体" w:hAnsi="宋体" w:cs="宋体"/>
          <w:bCs/>
          <w:sz w:val="24"/>
          <w:highlight w:val="none"/>
          <w:lang w:val="en-US" w:eastAsia="zh-CN" w:bidi="ar"/>
        </w:rPr>
        <w:t>参选</w:t>
      </w:r>
      <w:r>
        <w:rPr>
          <w:rFonts w:hint="eastAsia" w:ascii="宋体" w:hAnsi="宋体" w:cs="宋体"/>
          <w:bCs/>
          <w:sz w:val="24"/>
          <w:highlight w:val="none"/>
          <w:lang w:bidi="ar"/>
        </w:rPr>
        <w:t>人提交的</w:t>
      </w:r>
      <w:r>
        <w:rPr>
          <w:rFonts w:hint="eastAsia" w:ascii="宋体" w:hAnsi="宋体" w:cs="宋体"/>
          <w:bCs/>
          <w:sz w:val="24"/>
          <w:highlight w:val="none"/>
          <w:lang w:eastAsia="zh-CN" w:bidi="ar"/>
        </w:rPr>
        <w:t>其他</w:t>
      </w:r>
      <w:r>
        <w:rPr>
          <w:rFonts w:hint="eastAsia" w:ascii="宋体" w:hAnsi="宋体" w:cs="宋体"/>
          <w:bCs/>
          <w:sz w:val="24"/>
          <w:highlight w:val="none"/>
          <w:lang w:bidi="ar"/>
        </w:rPr>
        <w:t>资料</w:t>
      </w:r>
      <w:bookmarkEnd w:id="573"/>
    </w:p>
    <w:p w14:paraId="6800CBBD">
      <w:pPr>
        <w:widowControl/>
        <w:shd w:val="clear" w:color="auto" w:fill="FFFFFF"/>
        <w:snapToGrid w:val="0"/>
        <w:ind w:firstLine="420" w:firstLineChars="200"/>
        <w:jc w:val="left"/>
        <w:rPr>
          <w:rFonts w:asciiTheme="minorEastAsia" w:hAnsiTheme="minorEastAsia"/>
          <w:szCs w:val="21"/>
          <w:highlight w:val="none"/>
        </w:rPr>
      </w:pPr>
    </w:p>
    <w:p w14:paraId="7A6F29B5">
      <w:pPr>
        <w:widowControl/>
        <w:spacing w:line="240" w:lineRule="auto"/>
        <w:jc w:val="left"/>
        <w:rPr>
          <w:rFonts w:asciiTheme="minorEastAsia" w:hAnsiTheme="minorEastAsia"/>
          <w:szCs w:val="21"/>
          <w:highlight w:val="none"/>
        </w:rPr>
      </w:pPr>
    </w:p>
    <w:p w14:paraId="32189568">
      <w:pPr>
        <w:widowControl/>
        <w:spacing w:line="240" w:lineRule="auto"/>
        <w:jc w:val="left"/>
        <w:rPr>
          <w:rFonts w:asciiTheme="minorEastAsia" w:hAnsiTheme="minorEastAsia"/>
          <w:szCs w:val="21"/>
          <w:highlight w:val="none"/>
        </w:rPr>
      </w:pPr>
    </w:p>
    <w:p w14:paraId="0175BBDF">
      <w:pPr>
        <w:widowControl/>
        <w:spacing w:line="240" w:lineRule="auto"/>
        <w:jc w:val="left"/>
        <w:rPr>
          <w:rFonts w:asciiTheme="minorEastAsia" w:hAnsiTheme="minorEastAsia"/>
          <w:szCs w:val="21"/>
          <w:highlight w:val="none"/>
        </w:rPr>
      </w:pPr>
    </w:p>
    <w:p w14:paraId="6527974B">
      <w:pPr>
        <w:widowControl/>
        <w:spacing w:line="240" w:lineRule="auto"/>
        <w:jc w:val="left"/>
        <w:rPr>
          <w:rFonts w:asciiTheme="minorEastAsia" w:hAnsiTheme="minorEastAsia"/>
          <w:szCs w:val="21"/>
          <w:highlight w:val="none"/>
        </w:rPr>
      </w:pPr>
    </w:p>
    <w:p w14:paraId="2C38DFB3">
      <w:pPr>
        <w:widowControl/>
        <w:spacing w:line="240" w:lineRule="auto"/>
        <w:jc w:val="left"/>
        <w:rPr>
          <w:rFonts w:asciiTheme="minorEastAsia" w:hAnsiTheme="minorEastAsia"/>
          <w:szCs w:val="21"/>
          <w:highlight w:val="none"/>
        </w:rPr>
      </w:pPr>
    </w:p>
    <w:p w14:paraId="100550DF">
      <w:pPr>
        <w:widowControl/>
        <w:spacing w:line="240" w:lineRule="auto"/>
        <w:jc w:val="left"/>
        <w:rPr>
          <w:rFonts w:asciiTheme="minorEastAsia" w:hAnsiTheme="minorEastAsia"/>
          <w:szCs w:val="21"/>
          <w:highlight w:val="none"/>
        </w:rPr>
      </w:pPr>
    </w:p>
    <w:p w14:paraId="3F9BF659">
      <w:pPr>
        <w:widowControl/>
        <w:spacing w:line="240" w:lineRule="auto"/>
        <w:jc w:val="left"/>
        <w:rPr>
          <w:rFonts w:asciiTheme="minorEastAsia" w:hAnsiTheme="minorEastAsia"/>
          <w:szCs w:val="21"/>
          <w:highlight w:val="none"/>
        </w:rPr>
      </w:pPr>
    </w:p>
    <w:p w14:paraId="5BD017DC">
      <w:pPr>
        <w:widowControl/>
        <w:spacing w:line="240" w:lineRule="auto"/>
        <w:jc w:val="left"/>
        <w:rPr>
          <w:rFonts w:asciiTheme="minorEastAsia" w:hAnsiTheme="minorEastAsia"/>
          <w:szCs w:val="21"/>
          <w:highlight w:val="none"/>
        </w:rPr>
      </w:pPr>
    </w:p>
    <w:p w14:paraId="3556B842">
      <w:pPr>
        <w:widowControl/>
        <w:spacing w:line="240" w:lineRule="auto"/>
        <w:jc w:val="left"/>
        <w:rPr>
          <w:rFonts w:asciiTheme="minorEastAsia" w:hAnsiTheme="minorEastAsia"/>
          <w:szCs w:val="21"/>
          <w:highlight w:val="none"/>
        </w:rPr>
      </w:pPr>
    </w:p>
    <w:p w14:paraId="21352A79">
      <w:pPr>
        <w:widowControl/>
        <w:spacing w:line="240" w:lineRule="auto"/>
        <w:jc w:val="left"/>
        <w:rPr>
          <w:rFonts w:asciiTheme="minorEastAsia" w:hAnsiTheme="minorEastAsia"/>
          <w:szCs w:val="21"/>
          <w:highlight w:val="none"/>
        </w:rPr>
      </w:pPr>
    </w:p>
    <w:p w14:paraId="3F623F62">
      <w:pPr>
        <w:widowControl/>
        <w:spacing w:line="240" w:lineRule="auto"/>
        <w:jc w:val="left"/>
        <w:rPr>
          <w:rFonts w:asciiTheme="minorEastAsia" w:hAnsiTheme="minorEastAsia"/>
          <w:szCs w:val="21"/>
          <w:highlight w:val="none"/>
        </w:rPr>
      </w:pPr>
    </w:p>
    <w:p w14:paraId="4C6B806B">
      <w:pPr>
        <w:pStyle w:val="27"/>
        <w:pageBreakBefore/>
        <w:widowControl w:val="0"/>
        <w:numPr>
          <w:ilvl w:val="0"/>
          <w:numId w:val="11"/>
        </w:numPr>
        <w:spacing w:before="0" w:beforeAutospacing="0" w:after="0" w:afterAutospacing="0" w:line="0" w:lineRule="atLeast"/>
        <w:jc w:val="center"/>
        <w:outlineLvl w:val="1"/>
        <w:rPr>
          <w:rFonts w:cs="宋体"/>
          <w:b/>
          <w:bCs w:val="0"/>
          <w:color w:val="auto"/>
          <w:kern w:val="2"/>
          <w:sz w:val="32"/>
          <w:szCs w:val="32"/>
          <w:highlight w:val="none"/>
        </w:rPr>
      </w:pPr>
      <w:bookmarkStart w:id="574" w:name="_Toc120110854"/>
      <w:bookmarkStart w:id="575" w:name="_Toc109888275"/>
      <w:bookmarkStart w:id="576" w:name="_Toc82589577"/>
      <w:r>
        <w:rPr>
          <w:rFonts w:hint="eastAsia" w:cs="宋体"/>
          <w:b/>
          <w:bCs w:val="0"/>
          <w:color w:val="auto"/>
          <w:kern w:val="2"/>
          <w:sz w:val="32"/>
          <w:szCs w:val="32"/>
          <w:highlight w:val="none"/>
          <w:lang w:val="en-US" w:eastAsia="zh-CN"/>
        </w:rPr>
        <w:t>参选</w:t>
      </w:r>
      <w:r>
        <w:rPr>
          <w:rFonts w:hint="eastAsia" w:cs="宋体"/>
          <w:b/>
          <w:bCs w:val="0"/>
          <w:color w:val="auto"/>
          <w:kern w:val="2"/>
          <w:sz w:val="32"/>
          <w:szCs w:val="32"/>
          <w:highlight w:val="none"/>
        </w:rPr>
        <w:t>函</w:t>
      </w:r>
      <w:bookmarkEnd w:id="574"/>
      <w:bookmarkEnd w:id="575"/>
      <w:bookmarkEnd w:id="576"/>
    </w:p>
    <w:p w14:paraId="1C84BDAC">
      <w:pPr>
        <w:spacing w:line="360" w:lineRule="auto"/>
        <w:rPr>
          <w:rFonts w:ascii="宋体" w:hAnsi="宋体" w:cs="宋体"/>
          <w:sz w:val="24"/>
          <w:highlight w:val="none"/>
        </w:rPr>
      </w:pPr>
      <w:r>
        <w:rPr>
          <w:rFonts w:hint="eastAsia" w:ascii="宋体" w:hAnsi="宋体" w:cs="宋体"/>
          <w:sz w:val="24"/>
          <w:highlight w:val="none"/>
          <w:lang w:bidi="ar"/>
        </w:rPr>
        <w:t xml:space="preserve"> </w:t>
      </w:r>
    </w:p>
    <w:p w14:paraId="3607C2EC">
      <w:pPr>
        <w:spacing w:line="360" w:lineRule="auto"/>
        <w:rPr>
          <w:rFonts w:ascii="宋体" w:hAnsi="宋体" w:cs="宋体"/>
          <w:b w:val="0"/>
          <w:bCs w:val="0"/>
          <w:color w:val="auto"/>
          <w:kern w:val="21"/>
          <w:sz w:val="24"/>
          <w:highlight w:val="none"/>
          <w:u w:val="single"/>
        </w:rPr>
      </w:pPr>
      <w:r>
        <w:rPr>
          <w:rFonts w:hint="eastAsia" w:ascii="宋体" w:hAnsi="宋体" w:cs="宋体"/>
          <w:b w:val="0"/>
          <w:bCs w:val="0"/>
          <w:color w:val="auto"/>
          <w:sz w:val="24"/>
          <w:highlight w:val="none"/>
          <w:lang w:bidi="ar"/>
        </w:rPr>
        <w:t>致：</w:t>
      </w:r>
      <w:r>
        <w:rPr>
          <w:rFonts w:hint="eastAsia" w:ascii="宋体" w:hAnsi="宋体" w:cs="宋体"/>
          <w:b w:val="0"/>
          <w:bCs w:val="0"/>
          <w:color w:val="auto"/>
          <w:kern w:val="21"/>
          <w:sz w:val="24"/>
          <w:highlight w:val="none"/>
          <w:u w:val="single"/>
          <w:lang w:bidi="ar"/>
        </w:rPr>
        <w:t>福建省水利水电工程局有限公司</w:t>
      </w:r>
      <w:r>
        <w:rPr>
          <w:rFonts w:hint="eastAsia" w:ascii="宋体" w:hAnsi="宋体" w:cs="宋体"/>
          <w:b w:val="0"/>
          <w:bCs w:val="0"/>
          <w:color w:val="auto"/>
          <w:kern w:val="21"/>
          <w:sz w:val="24"/>
          <w:highlight w:val="none"/>
          <w:u w:val="single"/>
          <w:lang w:eastAsia="zh-CN" w:bidi="ar"/>
        </w:rPr>
        <w:t>（</w:t>
      </w:r>
      <w:r>
        <w:rPr>
          <w:rFonts w:hint="eastAsia" w:ascii="宋体" w:hAnsi="宋体" w:cs="宋体"/>
          <w:b w:val="0"/>
          <w:bCs w:val="0"/>
          <w:color w:val="auto"/>
          <w:kern w:val="21"/>
          <w:sz w:val="24"/>
          <w:highlight w:val="none"/>
          <w:u w:val="single"/>
          <w:lang w:val="en-US" w:eastAsia="zh-CN" w:bidi="ar"/>
        </w:rPr>
        <w:t>招选</w:t>
      </w:r>
      <w:r>
        <w:rPr>
          <w:rFonts w:hint="eastAsia" w:ascii="宋体" w:hAnsi="宋体" w:cs="宋体"/>
          <w:b w:val="0"/>
          <w:bCs w:val="0"/>
          <w:color w:val="auto"/>
          <w:kern w:val="21"/>
          <w:sz w:val="24"/>
          <w:highlight w:val="none"/>
          <w:u w:val="single"/>
          <w:lang w:bidi="ar"/>
        </w:rPr>
        <w:t>人</w:t>
      </w:r>
      <w:r>
        <w:rPr>
          <w:rFonts w:hint="eastAsia" w:ascii="宋体" w:hAnsi="宋体" w:cs="宋体"/>
          <w:b w:val="0"/>
          <w:bCs w:val="0"/>
          <w:color w:val="auto"/>
          <w:kern w:val="21"/>
          <w:sz w:val="24"/>
          <w:highlight w:val="none"/>
          <w:u w:val="single"/>
          <w:lang w:eastAsia="zh-CN" w:bidi="ar"/>
        </w:rPr>
        <w:t>）</w:t>
      </w:r>
    </w:p>
    <w:p w14:paraId="7A4F3CBB">
      <w:pPr>
        <w:widowControl/>
        <w:shd w:val="clear" w:color="auto" w:fill="FFFFFF"/>
        <w:snapToGrid w:val="0"/>
        <w:ind w:right="-227" w:rightChars="-108" w:firstLine="480" w:firstLineChars="200"/>
        <w:jc w:val="left"/>
        <w:rPr>
          <w:rFonts w:ascii="宋体" w:hAnsi="宋体" w:cs="宋体"/>
          <w:b w:val="0"/>
          <w:bCs w:val="0"/>
          <w:color w:val="auto"/>
          <w:sz w:val="24"/>
          <w:highlight w:val="none"/>
          <w:lang w:bidi="ar"/>
        </w:rPr>
      </w:pPr>
      <w:r>
        <w:rPr>
          <w:rFonts w:hint="eastAsia" w:ascii="宋体" w:hAnsi="宋体" w:cs="宋体"/>
          <w:b w:val="0"/>
          <w:bCs w:val="0"/>
          <w:color w:val="auto"/>
          <w:sz w:val="24"/>
          <w:highlight w:val="none"/>
          <w:lang w:bidi="ar"/>
        </w:rPr>
        <w:t>根据贵方</w:t>
      </w:r>
      <w:r>
        <w:rPr>
          <w:rFonts w:hint="eastAsia" w:cs="宋体"/>
          <w:b w:val="0"/>
          <w:bCs w:val="0"/>
          <w:color w:val="auto"/>
          <w:kern w:val="21"/>
          <w:sz w:val="24"/>
          <w:szCs w:val="24"/>
          <w:highlight w:val="none"/>
          <w:u w:val="single"/>
          <w:lang w:bidi="ar"/>
        </w:rPr>
        <w:t>福建省水利水电工程局有限公司</w:t>
      </w:r>
      <w:r>
        <w:rPr>
          <w:rFonts w:hint="eastAsia" w:cs="宋体"/>
          <w:b w:val="0"/>
          <w:bCs w:val="0"/>
          <w:color w:val="auto"/>
          <w:sz w:val="24"/>
          <w:szCs w:val="24"/>
          <w:highlight w:val="none"/>
          <w:u w:val="single"/>
          <w:lang w:bidi="ar"/>
        </w:rPr>
        <w:t>漳州市东南沿海地区九龙江调水工程阀门类采购项目</w:t>
      </w:r>
      <w:r>
        <w:rPr>
          <w:rFonts w:hint="eastAsia" w:cs="宋体"/>
          <w:b w:val="0"/>
          <w:bCs w:val="0"/>
          <w:color w:val="auto"/>
          <w:sz w:val="24"/>
          <w:szCs w:val="24"/>
          <w:highlight w:val="none"/>
          <w:u w:val="single"/>
          <w:lang w:eastAsia="zh-CN" w:bidi="ar"/>
        </w:rPr>
        <w:t>（</w:t>
      </w:r>
      <w:r>
        <w:rPr>
          <w:rFonts w:hint="eastAsia" w:cs="宋体"/>
          <w:b w:val="0"/>
          <w:bCs w:val="0"/>
          <w:color w:val="auto"/>
          <w:sz w:val="24"/>
          <w:szCs w:val="24"/>
          <w:highlight w:val="none"/>
          <w:u w:val="single"/>
          <w:lang w:val="en-US" w:eastAsia="zh-CN" w:bidi="ar"/>
        </w:rPr>
        <w:t>重新招选</w:t>
      </w:r>
      <w:r>
        <w:rPr>
          <w:rFonts w:hint="eastAsia" w:cs="宋体"/>
          <w:b w:val="0"/>
          <w:bCs w:val="0"/>
          <w:color w:val="auto"/>
          <w:sz w:val="24"/>
          <w:szCs w:val="24"/>
          <w:highlight w:val="none"/>
          <w:u w:val="single"/>
          <w:lang w:eastAsia="zh-CN" w:bidi="ar"/>
        </w:rPr>
        <w:t>）</w:t>
      </w:r>
      <w:r>
        <w:rPr>
          <w:rFonts w:hint="eastAsia" w:ascii="宋体" w:hAnsi="宋体" w:cs="宋体"/>
          <w:b w:val="0"/>
          <w:bCs w:val="0"/>
          <w:color w:val="auto"/>
          <w:sz w:val="24"/>
          <w:highlight w:val="none"/>
          <w:lang w:bidi="ar"/>
        </w:rPr>
        <w:t>的招</w:t>
      </w:r>
      <w:r>
        <w:rPr>
          <w:rFonts w:hint="eastAsia" w:ascii="宋体" w:hAnsi="宋体" w:cs="宋体"/>
          <w:b w:val="0"/>
          <w:bCs w:val="0"/>
          <w:color w:val="auto"/>
          <w:sz w:val="24"/>
          <w:highlight w:val="none"/>
          <w:lang w:val="en-US" w:eastAsia="zh-CN" w:bidi="ar"/>
        </w:rPr>
        <w:t>选</w:t>
      </w:r>
      <w:r>
        <w:rPr>
          <w:rFonts w:hint="eastAsia" w:ascii="宋体" w:hAnsi="宋体" w:cs="宋体"/>
          <w:b w:val="0"/>
          <w:bCs w:val="0"/>
          <w:color w:val="auto"/>
          <w:sz w:val="24"/>
          <w:highlight w:val="none"/>
          <w:lang w:bidi="ar"/>
        </w:rPr>
        <w:t>文件，本</w:t>
      </w:r>
      <w:r>
        <w:rPr>
          <w:rFonts w:hint="eastAsia" w:ascii="宋体" w:hAnsi="宋体" w:cs="宋体"/>
          <w:b w:val="0"/>
          <w:bCs w:val="0"/>
          <w:color w:val="auto"/>
          <w:sz w:val="24"/>
          <w:highlight w:val="none"/>
          <w:lang w:val="en-US" w:eastAsia="zh-CN" w:bidi="ar"/>
        </w:rPr>
        <w:t>参选</w:t>
      </w:r>
      <w:r>
        <w:rPr>
          <w:rFonts w:hint="eastAsia" w:ascii="宋体" w:hAnsi="宋体" w:cs="宋体"/>
          <w:b w:val="0"/>
          <w:bCs w:val="0"/>
          <w:color w:val="auto"/>
          <w:sz w:val="24"/>
          <w:highlight w:val="none"/>
          <w:lang w:bidi="ar"/>
        </w:rPr>
        <w:t>人代表（</w:t>
      </w:r>
      <w:r>
        <w:rPr>
          <w:rFonts w:hint="eastAsia" w:ascii="宋体" w:hAnsi="宋体" w:cs="宋体"/>
          <w:b w:val="0"/>
          <w:bCs w:val="0"/>
          <w:color w:val="auto"/>
          <w:sz w:val="24"/>
          <w:highlight w:val="none"/>
          <w:u w:val="single"/>
          <w:lang w:bidi="ar"/>
        </w:rPr>
        <w:t>全名、职务</w:t>
      </w:r>
      <w:r>
        <w:rPr>
          <w:rFonts w:hint="eastAsia" w:ascii="宋体" w:hAnsi="宋体" w:cs="宋体"/>
          <w:b w:val="0"/>
          <w:bCs w:val="0"/>
          <w:color w:val="auto"/>
          <w:sz w:val="24"/>
          <w:highlight w:val="none"/>
          <w:lang w:bidi="ar"/>
        </w:rPr>
        <w:t>）获得正式授权并代表</w:t>
      </w:r>
      <w:r>
        <w:rPr>
          <w:rFonts w:hint="eastAsia" w:ascii="宋体" w:hAnsi="宋体" w:cs="宋体"/>
          <w:b w:val="0"/>
          <w:bCs w:val="0"/>
          <w:color w:val="auto"/>
          <w:sz w:val="24"/>
          <w:highlight w:val="none"/>
          <w:lang w:val="en-US" w:eastAsia="zh-CN" w:bidi="ar"/>
        </w:rPr>
        <w:t>参选</w:t>
      </w:r>
      <w:r>
        <w:rPr>
          <w:rFonts w:hint="eastAsia" w:ascii="宋体" w:hAnsi="宋体" w:cs="宋体"/>
          <w:b w:val="0"/>
          <w:bCs w:val="0"/>
          <w:color w:val="auto"/>
          <w:sz w:val="24"/>
          <w:highlight w:val="none"/>
          <w:lang w:bidi="ar"/>
        </w:rPr>
        <w:t>人（</w:t>
      </w:r>
      <w:r>
        <w:rPr>
          <w:rFonts w:hint="eastAsia" w:ascii="宋体" w:hAnsi="宋体" w:cs="宋体"/>
          <w:b w:val="0"/>
          <w:bCs w:val="0"/>
          <w:color w:val="auto"/>
          <w:sz w:val="24"/>
          <w:highlight w:val="none"/>
          <w:u w:val="single"/>
          <w:lang w:eastAsia="zh-CN" w:bidi="ar"/>
        </w:rPr>
        <w:t>参选</w:t>
      </w:r>
      <w:r>
        <w:rPr>
          <w:rFonts w:hint="eastAsia" w:ascii="宋体" w:hAnsi="宋体" w:cs="宋体"/>
          <w:b w:val="0"/>
          <w:bCs w:val="0"/>
          <w:color w:val="auto"/>
          <w:sz w:val="24"/>
          <w:highlight w:val="none"/>
          <w:u w:val="single"/>
          <w:lang w:bidi="ar"/>
        </w:rPr>
        <w:t>人名称、地址</w:t>
      </w:r>
      <w:r>
        <w:rPr>
          <w:rFonts w:hint="eastAsia" w:ascii="宋体" w:hAnsi="宋体" w:cs="宋体"/>
          <w:b w:val="0"/>
          <w:bCs w:val="0"/>
          <w:color w:val="auto"/>
          <w:sz w:val="24"/>
          <w:highlight w:val="none"/>
          <w:lang w:bidi="ar"/>
        </w:rPr>
        <w:t>）签署和提交下述</w:t>
      </w:r>
      <w:r>
        <w:rPr>
          <w:rFonts w:hint="eastAsia" w:ascii="宋体" w:hAnsi="宋体" w:cs="宋体"/>
          <w:b w:val="0"/>
          <w:bCs w:val="0"/>
          <w:color w:val="auto"/>
          <w:sz w:val="24"/>
          <w:highlight w:val="none"/>
          <w:lang w:val="en-US" w:eastAsia="zh-CN" w:bidi="ar"/>
        </w:rPr>
        <w:t>参选</w:t>
      </w:r>
      <w:r>
        <w:rPr>
          <w:rFonts w:hint="eastAsia" w:ascii="宋体" w:hAnsi="宋体" w:cs="宋体"/>
          <w:b w:val="0"/>
          <w:bCs w:val="0"/>
          <w:color w:val="auto"/>
          <w:sz w:val="24"/>
          <w:highlight w:val="none"/>
          <w:lang w:bidi="ar"/>
        </w:rPr>
        <w:t xml:space="preserve">文件和报价函： </w:t>
      </w:r>
    </w:p>
    <w:p w14:paraId="21273FBE">
      <w:pPr>
        <w:spacing w:line="360" w:lineRule="auto"/>
        <w:ind w:firstLine="480" w:firstLineChars="200"/>
        <w:rPr>
          <w:rFonts w:ascii="宋体" w:hAnsi="宋体" w:cs="宋体"/>
          <w:sz w:val="24"/>
          <w:highlight w:val="none"/>
        </w:rPr>
      </w:pPr>
      <w:r>
        <w:rPr>
          <w:rFonts w:hint="eastAsia" w:ascii="宋体" w:hAnsi="宋体" w:cs="宋体"/>
          <w:sz w:val="24"/>
          <w:highlight w:val="none"/>
          <w:lang w:eastAsia="zh-CN" w:bidi="ar"/>
        </w:rPr>
        <w:t>参选</w:t>
      </w:r>
      <w:r>
        <w:rPr>
          <w:rFonts w:hint="eastAsia" w:ascii="宋体" w:hAnsi="宋体" w:cs="宋体"/>
          <w:sz w:val="24"/>
          <w:highlight w:val="none"/>
          <w:lang w:bidi="ar"/>
        </w:rPr>
        <w:t>文件：</w:t>
      </w:r>
    </w:p>
    <w:p w14:paraId="4CEE2E96">
      <w:pPr>
        <w:spacing w:line="360" w:lineRule="auto"/>
        <w:ind w:firstLine="588" w:firstLineChars="245"/>
        <w:rPr>
          <w:rFonts w:ascii="宋体" w:hAnsi="宋体" w:cs="宋体"/>
          <w:sz w:val="24"/>
          <w:highlight w:val="none"/>
        </w:rPr>
      </w:pPr>
      <w:r>
        <w:rPr>
          <w:rFonts w:hint="eastAsia" w:ascii="宋体" w:hAnsi="宋体" w:cs="宋体"/>
          <w:sz w:val="24"/>
          <w:highlight w:val="none"/>
          <w:lang w:bidi="ar"/>
        </w:rPr>
        <w:t>（1）</w:t>
      </w:r>
      <w:r>
        <w:rPr>
          <w:rFonts w:hint="eastAsia" w:ascii="宋体" w:hAnsi="宋体" w:cs="宋体"/>
          <w:sz w:val="24"/>
          <w:highlight w:val="none"/>
          <w:lang w:val="en-US" w:eastAsia="zh-CN" w:bidi="ar"/>
        </w:rPr>
        <w:t>参选</w:t>
      </w:r>
      <w:r>
        <w:rPr>
          <w:rFonts w:hint="eastAsia" w:ascii="宋体" w:hAnsi="宋体" w:cs="宋体"/>
          <w:sz w:val="24"/>
          <w:highlight w:val="none"/>
          <w:lang w:bidi="ar"/>
        </w:rPr>
        <w:t>函</w:t>
      </w:r>
    </w:p>
    <w:p w14:paraId="006F677A">
      <w:pPr>
        <w:spacing w:line="360" w:lineRule="auto"/>
        <w:ind w:firstLine="588" w:firstLineChars="245"/>
        <w:rPr>
          <w:rFonts w:ascii="宋体" w:hAnsi="宋体" w:cs="宋体"/>
          <w:sz w:val="24"/>
          <w:highlight w:val="none"/>
        </w:rPr>
      </w:pPr>
      <w:r>
        <w:rPr>
          <w:rFonts w:hint="eastAsia" w:ascii="宋体" w:hAnsi="宋体" w:cs="宋体"/>
          <w:sz w:val="24"/>
          <w:highlight w:val="none"/>
          <w:lang w:bidi="ar"/>
        </w:rPr>
        <w:t>（2）报价函</w:t>
      </w:r>
    </w:p>
    <w:p w14:paraId="16E18066">
      <w:pPr>
        <w:spacing w:line="360" w:lineRule="auto"/>
        <w:ind w:firstLine="588" w:firstLineChars="245"/>
        <w:rPr>
          <w:rFonts w:hint="eastAsia" w:ascii="宋体" w:hAnsi="宋体" w:cs="宋体"/>
          <w:color w:val="auto"/>
          <w:sz w:val="24"/>
          <w:highlight w:val="none"/>
          <w:lang w:val="en-US" w:eastAsia="zh-CN" w:bidi="ar"/>
        </w:rPr>
      </w:pPr>
      <w:r>
        <w:rPr>
          <w:rFonts w:hint="eastAsia" w:ascii="宋体" w:hAnsi="宋体" w:cs="宋体"/>
          <w:color w:val="auto"/>
          <w:sz w:val="24"/>
          <w:highlight w:val="none"/>
          <w:lang w:bidi="ar"/>
        </w:rPr>
        <w:t>（3）</w:t>
      </w:r>
      <w:r>
        <w:rPr>
          <w:rFonts w:hint="eastAsia" w:ascii="宋体" w:hAnsi="宋体" w:cs="宋体"/>
          <w:color w:val="auto"/>
          <w:sz w:val="24"/>
          <w:highlight w:val="none"/>
          <w:lang w:val="en-US" w:eastAsia="zh-CN" w:bidi="ar"/>
        </w:rPr>
        <w:t>采购清单报价表</w:t>
      </w:r>
    </w:p>
    <w:p w14:paraId="21BD7AB5">
      <w:pPr>
        <w:spacing w:line="360" w:lineRule="auto"/>
        <w:ind w:firstLine="588" w:firstLineChars="245"/>
        <w:rPr>
          <w:rFonts w:ascii="宋体" w:hAnsi="宋体" w:cs="宋体"/>
          <w:bCs/>
          <w:sz w:val="24"/>
          <w:highlight w:val="none"/>
        </w:rPr>
      </w:pPr>
      <w:r>
        <w:rPr>
          <w:rFonts w:hint="eastAsia" w:ascii="宋体" w:hAnsi="宋体" w:cs="宋体"/>
          <w:sz w:val="24"/>
          <w:highlight w:val="none"/>
          <w:lang w:bidi="ar"/>
        </w:rPr>
        <w:t>（4）</w:t>
      </w:r>
      <w:r>
        <w:rPr>
          <w:rFonts w:hint="eastAsia" w:ascii="宋体" w:hAnsi="宋体" w:cs="宋体"/>
          <w:sz w:val="24"/>
          <w:highlight w:val="none"/>
          <w:lang w:val="en-US" w:eastAsia="zh-CN" w:bidi="ar"/>
        </w:rPr>
        <w:t>参选</w:t>
      </w:r>
      <w:r>
        <w:rPr>
          <w:rFonts w:hint="eastAsia" w:ascii="宋体" w:hAnsi="宋体" w:cs="宋体"/>
          <w:sz w:val="24"/>
          <w:highlight w:val="none"/>
          <w:lang w:bidi="ar"/>
        </w:rPr>
        <w:t>人</w:t>
      </w:r>
      <w:r>
        <w:rPr>
          <w:rFonts w:hint="eastAsia" w:ascii="宋体" w:hAnsi="宋体" w:cs="宋体"/>
          <w:bCs/>
          <w:sz w:val="24"/>
          <w:highlight w:val="none"/>
          <w:lang w:bidi="ar"/>
        </w:rPr>
        <w:t>的资格证明文件</w:t>
      </w:r>
    </w:p>
    <w:p w14:paraId="524BE497">
      <w:pPr>
        <w:spacing w:line="360" w:lineRule="auto"/>
        <w:ind w:firstLine="600" w:firstLineChars="250"/>
        <w:outlineLvl w:val="1"/>
        <w:rPr>
          <w:rFonts w:ascii="宋体" w:hAnsi="宋体" w:cs="宋体"/>
          <w:bCs/>
          <w:sz w:val="24"/>
          <w:highlight w:val="none"/>
          <w:lang w:bidi="ar"/>
        </w:rPr>
      </w:pPr>
      <w:bookmarkStart w:id="577" w:name="_Toc109888276"/>
      <w:bookmarkStart w:id="578" w:name="_Toc120110855"/>
      <w:bookmarkStart w:id="579" w:name="_Toc109888129"/>
      <w:bookmarkStart w:id="580" w:name="_Toc82589578"/>
      <w:bookmarkStart w:id="581" w:name="_Toc23082"/>
      <w:r>
        <w:rPr>
          <w:rFonts w:hint="eastAsia" w:ascii="宋体" w:hAnsi="宋体" w:cs="宋体"/>
          <w:bCs/>
          <w:sz w:val="24"/>
          <w:highlight w:val="none"/>
          <w:lang w:bidi="ar"/>
        </w:rPr>
        <w:t>（5）</w:t>
      </w:r>
      <w:r>
        <w:rPr>
          <w:rFonts w:hint="eastAsia" w:ascii="宋体" w:hAnsi="宋体" w:cs="宋体"/>
          <w:bCs/>
          <w:sz w:val="24"/>
          <w:highlight w:val="none"/>
          <w:lang w:val="en-US" w:eastAsia="zh-CN" w:bidi="ar"/>
        </w:rPr>
        <w:t>参选</w:t>
      </w:r>
      <w:r>
        <w:rPr>
          <w:rFonts w:hint="eastAsia" w:ascii="宋体" w:hAnsi="宋体" w:cs="宋体"/>
          <w:bCs/>
          <w:sz w:val="24"/>
          <w:highlight w:val="none"/>
          <w:lang w:bidi="ar"/>
        </w:rPr>
        <w:t>承诺函</w:t>
      </w:r>
      <w:bookmarkEnd w:id="577"/>
      <w:bookmarkEnd w:id="578"/>
      <w:bookmarkEnd w:id="579"/>
    </w:p>
    <w:p w14:paraId="02AE4ADD">
      <w:pPr>
        <w:spacing w:line="360" w:lineRule="auto"/>
        <w:ind w:firstLine="600" w:firstLineChars="250"/>
        <w:outlineLvl w:val="1"/>
        <w:rPr>
          <w:rFonts w:ascii="宋体" w:hAnsi="宋体" w:cs="宋体"/>
          <w:bCs/>
          <w:sz w:val="24"/>
          <w:highlight w:val="none"/>
        </w:rPr>
      </w:pPr>
      <w:bookmarkStart w:id="582" w:name="_Toc109888277"/>
      <w:bookmarkStart w:id="583" w:name="_Toc109888130"/>
      <w:bookmarkStart w:id="584" w:name="_Toc120110856"/>
      <w:r>
        <w:rPr>
          <w:rFonts w:hint="eastAsia" w:ascii="宋体" w:hAnsi="宋体" w:cs="宋体"/>
          <w:bCs/>
          <w:sz w:val="24"/>
          <w:highlight w:val="none"/>
          <w:lang w:bidi="ar"/>
        </w:rPr>
        <w:t>（</w:t>
      </w:r>
      <w:r>
        <w:rPr>
          <w:rFonts w:ascii="宋体" w:hAnsi="宋体" w:cs="宋体"/>
          <w:bCs/>
          <w:sz w:val="24"/>
          <w:highlight w:val="none"/>
          <w:lang w:bidi="ar"/>
        </w:rPr>
        <w:t>6</w:t>
      </w:r>
      <w:r>
        <w:rPr>
          <w:rFonts w:hint="eastAsia" w:ascii="宋体" w:hAnsi="宋体" w:cs="宋体"/>
          <w:bCs/>
          <w:sz w:val="24"/>
          <w:highlight w:val="none"/>
          <w:lang w:bidi="ar"/>
        </w:rPr>
        <w:t>）</w:t>
      </w:r>
      <w:r>
        <w:rPr>
          <w:rFonts w:hint="eastAsia" w:ascii="宋体" w:hAnsi="宋体" w:cs="宋体"/>
          <w:bCs/>
          <w:sz w:val="24"/>
          <w:highlight w:val="none"/>
          <w:lang w:val="en-US" w:eastAsia="zh-CN" w:bidi="ar"/>
        </w:rPr>
        <w:t>参选</w:t>
      </w:r>
      <w:r>
        <w:rPr>
          <w:rFonts w:hint="eastAsia" w:ascii="宋体" w:hAnsi="宋体" w:cs="宋体"/>
          <w:bCs/>
          <w:sz w:val="24"/>
          <w:highlight w:val="none"/>
          <w:lang w:bidi="ar"/>
        </w:rPr>
        <w:t>人提交的</w:t>
      </w:r>
      <w:r>
        <w:rPr>
          <w:rFonts w:hint="eastAsia" w:ascii="宋体" w:hAnsi="宋体" w:cs="宋体"/>
          <w:bCs/>
          <w:sz w:val="24"/>
          <w:highlight w:val="none"/>
          <w:lang w:eastAsia="zh-CN" w:bidi="ar"/>
        </w:rPr>
        <w:t>其他</w:t>
      </w:r>
      <w:r>
        <w:rPr>
          <w:rFonts w:hint="eastAsia" w:ascii="宋体" w:hAnsi="宋体" w:cs="宋体"/>
          <w:bCs/>
          <w:sz w:val="24"/>
          <w:highlight w:val="none"/>
          <w:lang w:bidi="ar"/>
        </w:rPr>
        <w:t>资料</w:t>
      </w:r>
      <w:bookmarkEnd w:id="580"/>
      <w:bookmarkEnd w:id="581"/>
      <w:bookmarkEnd w:id="582"/>
      <w:bookmarkEnd w:id="583"/>
      <w:bookmarkEnd w:id="584"/>
    </w:p>
    <w:p w14:paraId="3FFDDCCE">
      <w:pPr>
        <w:spacing w:line="360" w:lineRule="auto"/>
        <w:ind w:firstLine="480" w:firstLineChars="200"/>
        <w:rPr>
          <w:rFonts w:ascii="宋体" w:hAnsi="宋体" w:cs="宋体"/>
          <w:sz w:val="24"/>
          <w:highlight w:val="none"/>
        </w:rPr>
      </w:pPr>
      <w:r>
        <w:rPr>
          <w:rFonts w:hint="eastAsia" w:ascii="宋体" w:hAnsi="宋体" w:cs="宋体"/>
          <w:sz w:val="24"/>
          <w:highlight w:val="none"/>
          <w:lang w:bidi="ar"/>
        </w:rPr>
        <w:t>据此函，本代表签字宣布同意如下：</w:t>
      </w:r>
    </w:p>
    <w:p w14:paraId="6E7FEDF4">
      <w:pPr>
        <w:spacing w:line="360" w:lineRule="auto"/>
        <w:ind w:firstLine="480" w:firstLineChars="200"/>
        <w:rPr>
          <w:rFonts w:ascii="宋体" w:hAnsi="宋体" w:cs="宋体"/>
          <w:sz w:val="24"/>
          <w:highlight w:val="none"/>
        </w:rPr>
      </w:pPr>
      <w:r>
        <w:rPr>
          <w:rFonts w:hint="eastAsia" w:ascii="宋体" w:hAnsi="宋体" w:cs="宋体"/>
          <w:sz w:val="24"/>
          <w:highlight w:val="none"/>
          <w:lang w:bidi="ar"/>
        </w:rPr>
        <w:t>1.</w:t>
      </w:r>
      <w:r>
        <w:rPr>
          <w:rFonts w:hint="eastAsia" w:ascii="宋体" w:hAnsi="宋体" w:cs="宋体"/>
          <w:sz w:val="24"/>
          <w:highlight w:val="none"/>
          <w:lang w:val="en-US" w:eastAsia="zh-CN" w:bidi="ar"/>
        </w:rPr>
        <w:t>我方</w:t>
      </w:r>
      <w:r>
        <w:rPr>
          <w:rFonts w:hint="eastAsia" w:ascii="宋体" w:hAnsi="宋体" w:cs="宋体"/>
          <w:sz w:val="24"/>
          <w:highlight w:val="none"/>
          <w:lang w:bidi="ar"/>
        </w:rPr>
        <w:t>已详细审查全部</w:t>
      </w:r>
      <w:r>
        <w:rPr>
          <w:rFonts w:hint="eastAsia" w:ascii="宋体" w:hAnsi="宋体" w:cs="宋体"/>
          <w:sz w:val="24"/>
          <w:highlight w:val="none"/>
          <w:lang w:eastAsia="zh-CN" w:bidi="ar"/>
        </w:rPr>
        <w:t>招选</w:t>
      </w:r>
      <w:r>
        <w:rPr>
          <w:rFonts w:hint="eastAsia" w:ascii="宋体" w:hAnsi="宋体" w:cs="宋体"/>
          <w:sz w:val="24"/>
          <w:highlight w:val="none"/>
          <w:lang w:bidi="ar"/>
        </w:rPr>
        <w:t>文件，包括修改文件（如有的话）和有关附件，将自行承担因对全部招</w:t>
      </w:r>
      <w:r>
        <w:rPr>
          <w:rFonts w:hint="eastAsia" w:ascii="宋体" w:hAnsi="宋体" w:cs="宋体"/>
          <w:sz w:val="24"/>
          <w:highlight w:val="none"/>
          <w:lang w:val="en-US" w:eastAsia="zh-CN" w:bidi="ar"/>
        </w:rPr>
        <w:t>选</w:t>
      </w:r>
      <w:r>
        <w:rPr>
          <w:rFonts w:hint="eastAsia" w:ascii="宋体" w:hAnsi="宋体" w:cs="宋体"/>
          <w:sz w:val="24"/>
          <w:highlight w:val="none"/>
          <w:lang w:bidi="ar"/>
        </w:rPr>
        <w:t>文件理解不正确或误解而产生的相应后果。</w:t>
      </w:r>
    </w:p>
    <w:p w14:paraId="35608A1A">
      <w:pPr>
        <w:spacing w:line="360" w:lineRule="auto"/>
        <w:ind w:firstLine="480" w:firstLineChars="200"/>
        <w:rPr>
          <w:rFonts w:ascii="宋体" w:hAnsi="宋体" w:cs="宋体"/>
          <w:sz w:val="24"/>
          <w:highlight w:val="none"/>
        </w:rPr>
      </w:pPr>
      <w:r>
        <w:rPr>
          <w:rFonts w:hint="eastAsia" w:ascii="宋体" w:hAnsi="宋体" w:cs="宋体"/>
          <w:sz w:val="24"/>
          <w:highlight w:val="none"/>
          <w:lang w:bidi="ar"/>
        </w:rPr>
        <w:t>2.</w:t>
      </w:r>
      <w:r>
        <w:rPr>
          <w:rFonts w:hint="eastAsia" w:ascii="宋体" w:hAnsi="宋体" w:cs="宋体"/>
          <w:sz w:val="24"/>
          <w:highlight w:val="none"/>
          <w:lang w:val="en-US" w:eastAsia="zh-CN" w:bidi="ar"/>
        </w:rPr>
        <w:t>我方</w:t>
      </w:r>
      <w:r>
        <w:rPr>
          <w:rFonts w:hint="eastAsia" w:ascii="宋体" w:hAnsi="宋体" w:cs="宋体"/>
          <w:sz w:val="24"/>
          <w:highlight w:val="none"/>
          <w:lang w:bidi="ar"/>
        </w:rPr>
        <w:t>保证遵守招</w:t>
      </w:r>
      <w:r>
        <w:rPr>
          <w:rFonts w:hint="eastAsia" w:ascii="宋体" w:hAnsi="宋体" w:cs="宋体"/>
          <w:sz w:val="24"/>
          <w:highlight w:val="none"/>
          <w:lang w:val="en-US" w:eastAsia="zh-CN" w:bidi="ar"/>
        </w:rPr>
        <w:t>选</w:t>
      </w:r>
      <w:r>
        <w:rPr>
          <w:rFonts w:hint="eastAsia" w:ascii="宋体" w:hAnsi="宋体" w:cs="宋体"/>
          <w:sz w:val="24"/>
          <w:highlight w:val="none"/>
          <w:lang w:bidi="ar"/>
        </w:rPr>
        <w:t>文件的全部规定，</w:t>
      </w:r>
      <w:r>
        <w:rPr>
          <w:rFonts w:hint="eastAsia" w:ascii="宋体" w:hAnsi="宋体" w:cs="宋体"/>
          <w:sz w:val="24"/>
          <w:highlight w:val="none"/>
          <w:lang w:val="en-US" w:eastAsia="zh-CN" w:bidi="ar"/>
        </w:rPr>
        <w:t>参选</w:t>
      </w:r>
      <w:r>
        <w:rPr>
          <w:rFonts w:hint="eastAsia" w:ascii="宋体" w:hAnsi="宋体" w:cs="宋体"/>
          <w:sz w:val="24"/>
          <w:highlight w:val="none"/>
          <w:lang w:bidi="ar"/>
        </w:rPr>
        <w:t>人所提交的材料中所含的信息均为真实、准确、完整，且不具有任何误导性。</w:t>
      </w:r>
      <w:r>
        <w:rPr>
          <w:rFonts w:hint="eastAsia" w:ascii="宋体" w:hAnsi="宋体" w:cs="宋体"/>
          <w:sz w:val="24"/>
          <w:highlight w:val="none"/>
          <w:lang w:val="en-US" w:eastAsia="zh-CN" w:bidi="ar"/>
        </w:rPr>
        <w:t>参选</w:t>
      </w:r>
      <w:r>
        <w:rPr>
          <w:rFonts w:hint="eastAsia" w:ascii="宋体" w:hAnsi="宋体" w:cs="宋体"/>
          <w:sz w:val="24"/>
          <w:highlight w:val="none"/>
          <w:lang w:bidi="ar"/>
        </w:rPr>
        <w:t>人所提供的相关材料在招</w:t>
      </w:r>
      <w:r>
        <w:rPr>
          <w:rFonts w:hint="eastAsia" w:ascii="宋体" w:hAnsi="宋体" w:cs="宋体"/>
          <w:sz w:val="24"/>
          <w:highlight w:val="none"/>
          <w:lang w:val="en-US" w:eastAsia="zh-CN" w:bidi="ar"/>
        </w:rPr>
        <w:t>选</w:t>
      </w:r>
      <w:r>
        <w:rPr>
          <w:rFonts w:hint="eastAsia" w:ascii="宋体" w:hAnsi="宋体" w:cs="宋体"/>
          <w:sz w:val="24"/>
          <w:highlight w:val="none"/>
          <w:lang w:bidi="ar"/>
        </w:rPr>
        <w:t>文件中是不可拆卸的。如发现所提供材料不全，责任由本公司自负。</w:t>
      </w:r>
    </w:p>
    <w:p w14:paraId="04B1E4C4">
      <w:pPr>
        <w:spacing w:line="360" w:lineRule="auto"/>
        <w:ind w:firstLine="480" w:firstLineChars="200"/>
        <w:rPr>
          <w:rFonts w:ascii="宋体" w:hAnsi="宋体" w:cs="宋体"/>
          <w:sz w:val="24"/>
          <w:highlight w:val="none"/>
        </w:rPr>
      </w:pPr>
      <w:r>
        <w:rPr>
          <w:rFonts w:hint="eastAsia" w:ascii="宋体" w:hAnsi="宋体" w:cs="宋体"/>
          <w:sz w:val="24"/>
          <w:highlight w:val="none"/>
          <w:lang w:bidi="ar"/>
        </w:rPr>
        <w:t>3.</w:t>
      </w:r>
      <w:r>
        <w:rPr>
          <w:rFonts w:hint="eastAsia" w:ascii="宋体" w:hAnsi="宋体" w:cs="宋体"/>
          <w:sz w:val="24"/>
          <w:highlight w:val="none"/>
          <w:lang w:val="en-US" w:eastAsia="zh-CN" w:bidi="ar"/>
        </w:rPr>
        <w:t>我方</w:t>
      </w:r>
      <w:r>
        <w:rPr>
          <w:rFonts w:hint="eastAsia" w:ascii="宋体" w:hAnsi="宋体" w:cs="宋体"/>
          <w:sz w:val="24"/>
          <w:highlight w:val="none"/>
          <w:lang w:bidi="ar"/>
        </w:rPr>
        <w:t>将按招</w:t>
      </w:r>
      <w:r>
        <w:rPr>
          <w:rFonts w:hint="eastAsia" w:ascii="宋体" w:hAnsi="宋体" w:cs="宋体"/>
          <w:sz w:val="24"/>
          <w:highlight w:val="none"/>
          <w:lang w:val="en-US" w:eastAsia="zh-CN" w:bidi="ar"/>
        </w:rPr>
        <w:t>选</w:t>
      </w:r>
      <w:r>
        <w:rPr>
          <w:rFonts w:hint="eastAsia" w:ascii="宋体" w:hAnsi="宋体" w:cs="宋体"/>
          <w:sz w:val="24"/>
          <w:highlight w:val="none"/>
          <w:lang w:bidi="ar"/>
        </w:rPr>
        <w:t>文件的规定履行合同责任和义务。</w:t>
      </w:r>
    </w:p>
    <w:p w14:paraId="150A0773">
      <w:pPr>
        <w:spacing w:line="360" w:lineRule="auto"/>
        <w:ind w:firstLine="480" w:firstLineChars="200"/>
        <w:rPr>
          <w:rFonts w:ascii="宋体" w:hAnsi="宋体" w:cs="宋体"/>
          <w:sz w:val="24"/>
          <w:highlight w:val="none"/>
        </w:rPr>
      </w:pPr>
      <w:r>
        <w:rPr>
          <w:rFonts w:hint="eastAsia" w:ascii="宋体" w:hAnsi="宋体" w:cs="宋体"/>
          <w:sz w:val="24"/>
          <w:highlight w:val="none"/>
          <w:lang w:bidi="ar"/>
        </w:rPr>
        <w:t>4.</w:t>
      </w:r>
      <w:r>
        <w:rPr>
          <w:rFonts w:hint="eastAsia" w:ascii="宋体" w:hAnsi="宋体" w:cs="宋体"/>
          <w:sz w:val="24"/>
          <w:highlight w:val="none"/>
          <w:lang w:val="en-US" w:eastAsia="zh-CN" w:bidi="ar"/>
        </w:rPr>
        <w:t>参选</w:t>
      </w:r>
      <w:r>
        <w:rPr>
          <w:rFonts w:hint="eastAsia" w:ascii="宋体" w:hAnsi="宋体" w:cs="宋体"/>
          <w:sz w:val="24"/>
          <w:highlight w:val="none"/>
          <w:lang w:bidi="ar"/>
        </w:rPr>
        <w:t>有效期为：</w:t>
      </w:r>
      <w:r>
        <w:rPr>
          <w:rFonts w:hint="eastAsia" w:ascii="宋体" w:hAnsi="宋体" w:cs="宋体"/>
          <w:sz w:val="24"/>
          <w:highlight w:val="none"/>
          <w:lang w:val="en-US" w:eastAsia="zh-CN" w:bidi="ar"/>
        </w:rPr>
        <w:t>参选</w:t>
      </w:r>
      <w:r>
        <w:rPr>
          <w:rFonts w:hint="eastAsia" w:ascii="宋体" w:hAnsi="宋体" w:cs="宋体"/>
          <w:sz w:val="24"/>
          <w:highlight w:val="none"/>
          <w:lang w:bidi="ar"/>
        </w:rPr>
        <w:t>文件递交截止时间起</w:t>
      </w:r>
      <w:r>
        <w:rPr>
          <w:rFonts w:hint="eastAsia" w:ascii="宋体" w:hAnsi="宋体" w:cs="宋体"/>
          <w:sz w:val="24"/>
          <w:highlight w:val="none"/>
          <w:u w:val="single"/>
          <w:lang w:bidi="ar"/>
        </w:rPr>
        <w:t>90</w:t>
      </w:r>
      <w:r>
        <w:rPr>
          <w:rFonts w:hint="eastAsia" w:ascii="宋体" w:hAnsi="宋体" w:cs="宋体"/>
          <w:sz w:val="24"/>
          <w:highlight w:val="none"/>
          <w:lang w:bidi="ar"/>
        </w:rPr>
        <w:t>个日历天。</w:t>
      </w:r>
    </w:p>
    <w:p w14:paraId="44E4DB49">
      <w:pPr>
        <w:spacing w:line="360" w:lineRule="auto"/>
        <w:ind w:firstLine="480" w:firstLineChars="200"/>
        <w:rPr>
          <w:rFonts w:ascii="宋体" w:hAnsi="宋体" w:cs="宋体"/>
          <w:sz w:val="24"/>
          <w:highlight w:val="none"/>
        </w:rPr>
      </w:pPr>
      <w:r>
        <w:rPr>
          <w:rFonts w:hint="eastAsia" w:ascii="宋体" w:hAnsi="宋体" w:cs="宋体"/>
          <w:sz w:val="24"/>
          <w:highlight w:val="none"/>
          <w:lang w:bidi="ar"/>
        </w:rPr>
        <w:t>5.</w:t>
      </w:r>
      <w:r>
        <w:rPr>
          <w:rFonts w:hint="eastAsia" w:ascii="宋体" w:hAnsi="宋体" w:cs="宋体"/>
          <w:sz w:val="24"/>
          <w:highlight w:val="none"/>
          <w:lang w:val="en-US" w:eastAsia="zh-CN" w:bidi="ar"/>
        </w:rPr>
        <w:t>我方</w:t>
      </w:r>
      <w:r>
        <w:rPr>
          <w:rFonts w:hint="eastAsia" w:ascii="宋体" w:hAnsi="宋体" w:cs="宋体"/>
          <w:sz w:val="24"/>
          <w:highlight w:val="none"/>
          <w:lang w:bidi="ar"/>
        </w:rPr>
        <w:t>同意提供按照</w:t>
      </w:r>
      <w:r>
        <w:rPr>
          <w:rFonts w:hint="eastAsia" w:ascii="宋体" w:hAnsi="宋体" w:cs="宋体"/>
          <w:sz w:val="24"/>
          <w:highlight w:val="none"/>
          <w:lang w:val="en-US" w:eastAsia="zh-CN" w:bidi="ar"/>
        </w:rPr>
        <w:t>招选</w:t>
      </w:r>
      <w:r>
        <w:rPr>
          <w:rFonts w:hint="eastAsia" w:ascii="宋体" w:hAnsi="宋体" w:cs="宋体"/>
          <w:sz w:val="24"/>
          <w:highlight w:val="none"/>
          <w:lang w:bidi="ar"/>
        </w:rPr>
        <w:t>人可能要求的与</w:t>
      </w:r>
      <w:r>
        <w:rPr>
          <w:rFonts w:hint="eastAsia" w:ascii="宋体" w:hAnsi="宋体" w:cs="宋体"/>
          <w:sz w:val="24"/>
          <w:highlight w:val="none"/>
          <w:lang w:eastAsia="zh-CN" w:bidi="ar"/>
        </w:rPr>
        <w:t>参选</w:t>
      </w:r>
      <w:r>
        <w:rPr>
          <w:rFonts w:hint="eastAsia" w:ascii="宋体" w:hAnsi="宋体" w:cs="宋体"/>
          <w:sz w:val="24"/>
          <w:highlight w:val="none"/>
          <w:lang w:bidi="ar"/>
        </w:rPr>
        <w:t>有关的一切数据或资料。</w:t>
      </w:r>
    </w:p>
    <w:p w14:paraId="1B05AA14">
      <w:pPr>
        <w:pStyle w:val="27"/>
        <w:widowControl w:val="0"/>
        <w:spacing w:before="0" w:beforeAutospacing="0" w:after="0" w:afterAutospacing="0"/>
        <w:ind w:firstLine="480" w:firstLineChars="200"/>
        <w:jc w:val="both"/>
        <w:rPr>
          <w:rFonts w:cs="宋体"/>
          <w:kern w:val="2"/>
          <w:highlight w:val="none"/>
        </w:rPr>
      </w:pPr>
    </w:p>
    <w:p w14:paraId="110E3A72">
      <w:pPr>
        <w:pStyle w:val="27"/>
        <w:widowControl w:val="0"/>
        <w:spacing w:before="0" w:beforeAutospacing="0" w:after="0" w:afterAutospacing="0"/>
        <w:ind w:firstLine="480" w:firstLineChars="200"/>
        <w:jc w:val="both"/>
        <w:rPr>
          <w:rFonts w:cs="宋体"/>
          <w:kern w:val="2"/>
          <w:highlight w:val="none"/>
        </w:rPr>
      </w:pPr>
    </w:p>
    <w:p w14:paraId="06168AE8">
      <w:pPr>
        <w:spacing w:line="360" w:lineRule="auto"/>
        <w:ind w:firstLine="4320" w:firstLineChars="1800"/>
        <w:rPr>
          <w:rFonts w:ascii="宋体" w:hAnsi="宋体" w:cs="宋体"/>
          <w:sz w:val="24"/>
          <w:highlight w:val="none"/>
        </w:rPr>
      </w:pPr>
      <w:r>
        <w:rPr>
          <w:rFonts w:hint="eastAsia" w:ascii="宋体" w:hAnsi="宋体" w:cs="宋体"/>
          <w:sz w:val="24"/>
          <w:highlight w:val="none"/>
          <w:lang w:val="en-US" w:eastAsia="zh-CN" w:bidi="ar"/>
        </w:rPr>
        <w:t>参选</w:t>
      </w:r>
      <w:r>
        <w:rPr>
          <w:rFonts w:hint="eastAsia" w:ascii="宋体" w:hAnsi="宋体" w:cs="宋体"/>
          <w:sz w:val="24"/>
          <w:highlight w:val="none"/>
          <w:lang w:bidi="ar"/>
        </w:rPr>
        <w:t>人名称：</w:t>
      </w:r>
      <w:r>
        <w:rPr>
          <w:rFonts w:hint="eastAsia" w:ascii="宋体" w:hAnsi="宋体" w:cs="宋体"/>
          <w:sz w:val="24"/>
          <w:highlight w:val="none"/>
          <w:u w:val="single"/>
          <w:lang w:bidi="ar"/>
        </w:rPr>
        <w:t xml:space="preserve">（加盖公章）          </w:t>
      </w:r>
    </w:p>
    <w:p w14:paraId="23F22A71">
      <w:pPr>
        <w:spacing w:line="360" w:lineRule="auto"/>
        <w:ind w:firstLine="4320" w:firstLineChars="1800"/>
        <w:rPr>
          <w:rFonts w:ascii="宋体" w:hAnsi="宋体" w:cs="宋体"/>
          <w:sz w:val="24"/>
          <w:highlight w:val="none"/>
          <w:u w:val="single"/>
        </w:rPr>
      </w:pPr>
      <w:r>
        <w:rPr>
          <w:rFonts w:hint="eastAsia" w:ascii="宋体" w:hAnsi="宋体" w:cs="宋体"/>
          <w:sz w:val="24"/>
          <w:highlight w:val="none"/>
          <w:lang w:bidi="ar"/>
        </w:rPr>
        <w:t>法定代表人或其委托代理人：</w:t>
      </w:r>
      <w:r>
        <w:rPr>
          <w:rFonts w:hint="eastAsia" w:ascii="宋体" w:hAnsi="宋体" w:cs="宋体"/>
          <w:sz w:val="24"/>
          <w:highlight w:val="none"/>
          <w:u w:val="single"/>
          <w:lang w:bidi="ar"/>
        </w:rPr>
        <w:t xml:space="preserve">    （签字）   </w:t>
      </w:r>
    </w:p>
    <w:p w14:paraId="018DDF0F">
      <w:pPr>
        <w:spacing w:line="360" w:lineRule="auto"/>
        <w:ind w:firstLine="4320" w:firstLineChars="1800"/>
        <w:rPr>
          <w:rFonts w:ascii="宋体" w:hAnsi="宋体" w:cs="宋体"/>
          <w:sz w:val="24"/>
          <w:highlight w:val="none"/>
          <w:u w:val="single"/>
        </w:rPr>
      </w:pPr>
      <w:r>
        <w:rPr>
          <w:rFonts w:hint="eastAsia" w:ascii="宋体" w:hAnsi="宋体" w:cs="宋体"/>
          <w:sz w:val="24"/>
          <w:highlight w:val="none"/>
          <w:lang w:bidi="ar"/>
        </w:rPr>
        <w:t>地址：</w:t>
      </w:r>
      <w:r>
        <w:rPr>
          <w:rFonts w:hint="eastAsia" w:ascii="宋体" w:hAnsi="宋体" w:cs="宋体"/>
          <w:sz w:val="24"/>
          <w:highlight w:val="none"/>
          <w:u w:val="single"/>
          <w:lang w:bidi="ar"/>
        </w:rPr>
        <w:t xml:space="preserve">                  </w:t>
      </w:r>
    </w:p>
    <w:p w14:paraId="771C6872">
      <w:pPr>
        <w:spacing w:line="360" w:lineRule="auto"/>
        <w:ind w:firstLine="4320" w:firstLineChars="1800"/>
        <w:rPr>
          <w:rFonts w:ascii="宋体" w:hAnsi="宋体" w:cs="宋体"/>
          <w:b/>
          <w:sz w:val="24"/>
          <w:highlight w:val="none"/>
        </w:rPr>
      </w:pPr>
      <w:r>
        <w:rPr>
          <w:rFonts w:hint="eastAsia" w:ascii="宋体" w:hAnsi="宋体" w:cs="宋体"/>
          <w:sz w:val="24"/>
          <w:highlight w:val="none"/>
          <w:lang w:bidi="ar"/>
        </w:rPr>
        <w:t>日期：</w:t>
      </w:r>
      <w:r>
        <w:rPr>
          <w:rFonts w:hint="eastAsia" w:ascii="宋体" w:hAnsi="宋体" w:cs="宋体"/>
          <w:sz w:val="24"/>
          <w:highlight w:val="none"/>
          <w:u w:val="single"/>
          <w:lang w:bidi="ar"/>
        </w:rPr>
        <w:t xml:space="preserve">     </w:t>
      </w:r>
      <w:r>
        <w:rPr>
          <w:rFonts w:hint="eastAsia" w:ascii="宋体" w:hAnsi="宋体" w:cs="宋体"/>
          <w:sz w:val="24"/>
          <w:highlight w:val="none"/>
          <w:lang w:bidi="ar"/>
        </w:rPr>
        <w:t>年</w:t>
      </w:r>
      <w:r>
        <w:rPr>
          <w:rFonts w:hint="eastAsia" w:ascii="宋体" w:hAnsi="宋体" w:cs="宋体"/>
          <w:sz w:val="24"/>
          <w:highlight w:val="none"/>
          <w:u w:val="single"/>
          <w:lang w:bidi="ar"/>
        </w:rPr>
        <w:t xml:space="preserve">    </w:t>
      </w:r>
      <w:r>
        <w:rPr>
          <w:rFonts w:hint="eastAsia" w:ascii="宋体" w:hAnsi="宋体" w:cs="宋体"/>
          <w:sz w:val="24"/>
          <w:highlight w:val="none"/>
          <w:lang w:bidi="ar"/>
        </w:rPr>
        <w:t>月</w:t>
      </w:r>
      <w:r>
        <w:rPr>
          <w:rFonts w:hint="eastAsia" w:ascii="宋体" w:hAnsi="宋体" w:cs="宋体"/>
          <w:sz w:val="24"/>
          <w:highlight w:val="none"/>
          <w:u w:val="single"/>
          <w:lang w:bidi="ar"/>
        </w:rPr>
        <w:t xml:space="preserve">    </w:t>
      </w:r>
      <w:r>
        <w:rPr>
          <w:rFonts w:hint="eastAsia" w:ascii="宋体" w:hAnsi="宋体" w:cs="宋体"/>
          <w:sz w:val="24"/>
          <w:highlight w:val="none"/>
          <w:lang w:bidi="ar"/>
        </w:rPr>
        <w:t>日</w:t>
      </w:r>
    </w:p>
    <w:p w14:paraId="30A1FF31">
      <w:pPr>
        <w:spacing w:line="360" w:lineRule="auto"/>
        <w:rPr>
          <w:rFonts w:ascii="宋体" w:hAnsi="宋体" w:cs="宋体"/>
          <w:b/>
          <w:sz w:val="32"/>
          <w:szCs w:val="32"/>
          <w:highlight w:val="none"/>
        </w:rPr>
        <w:sectPr>
          <w:footerReference r:id="rId5" w:type="default"/>
          <w:pgSz w:w="11907" w:h="16840"/>
          <w:pgMar w:top="1418" w:right="1418" w:bottom="1418" w:left="1588" w:header="851" w:footer="992" w:gutter="0"/>
          <w:pgNumType w:fmt="decimal" w:start="2"/>
          <w:cols w:space="720" w:num="1"/>
          <w:docGrid w:type="lines" w:linePitch="323" w:charSpace="0"/>
        </w:sectPr>
      </w:pPr>
    </w:p>
    <w:p w14:paraId="6F5A77C9">
      <w:pPr>
        <w:ind w:firstLine="3190" w:firstLineChars="993"/>
        <w:outlineLvl w:val="1"/>
        <w:rPr>
          <w:rFonts w:ascii="宋体" w:hAnsi="宋体" w:cs="宋体"/>
          <w:b/>
          <w:bCs w:val="0"/>
          <w:color w:val="auto"/>
          <w:sz w:val="32"/>
          <w:szCs w:val="32"/>
          <w:highlight w:val="none"/>
        </w:rPr>
      </w:pPr>
      <w:bookmarkStart w:id="585" w:name="_Toc120110857"/>
      <w:bookmarkStart w:id="586" w:name="_Toc82589579"/>
      <w:bookmarkStart w:id="587" w:name="_Toc109888278"/>
      <w:r>
        <w:rPr>
          <w:rFonts w:hint="eastAsia" w:ascii="宋体" w:hAnsi="宋体" w:cs="宋体"/>
          <w:b/>
          <w:bCs w:val="0"/>
          <w:color w:val="auto"/>
          <w:sz w:val="32"/>
          <w:szCs w:val="32"/>
          <w:highlight w:val="none"/>
          <w:lang w:bidi="ar"/>
        </w:rPr>
        <w:t>二、报价函</w:t>
      </w:r>
      <w:bookmarkEnd w:id="585"/>
      <w:bookmarkEnd w:id="586"/>
      <w:bookmarkEnd w:id="587"/>
    </w:p>
    <w:p w14:paraId="3040786D">
      <w:pPr>
        <w:pStyle w:val="27"/>
        <w:widowControl w:val="0"/>
        <w:spacing w:before="0" w:beforeAutospacing="0" w:after="0" w:afterAutospacing="0"/>
        <w:ind w:firstLine="560" w:firstLineChars="200"/>
        <w:jc w:val="both"/>
        <w:rPr>
          <w:rFonts w:cs="宋体"/>
          <w:b w:val="0"/>
          <w:bCs/>
          <w:color w:val="auto"/>
          <w:kern w:val="2"/>
          <w:sz w:val="28"/>
          <w:szCs w:val="28"/>
          <w:highlight w:val="none"/>
        </w:rPr>
      </w:pPr>
      <w:r>
        <w:rPr>
          <w:rFonts w:hint="eastAsia" w:cs="宋体"/>
          <w:b w:val="0"/>
          <w:bCs/>
          <w:color w:val="auto"/>
          <w:kern w:val="2"/>
          <w:sz w:val="28"/>
          <w:szCs w:val="28"/>
          <w:highlight w:val="none"/>
          <w:lang w:bidi="ar"/>
        </w:rPr>
        <w:t xml:space="preserve"> </w:t>
      </w:r>
    </w:p>
    <w:p w14:paraId="3CF524AB">
      <w:pPr>
        <w:spacing w:line="500" w:lineRule="exact"/>
        <w:rPr>
          <w:rFonts w:ascii="宋体" w:hAnsi="宋体" w:cs="宋体"/>
          <w:b w:val="0"/>
          <w:bCs/>
          <w:color w:val="auto"/>
          <w:sz w:val="24"/>
          <w:highlight w:val="none"/>
          <w:u w:val="single"/>
        </w:rPr>
      </w:pPr>
      <w:r>
        <w:rPr>
          <w:rFonts w:hint="eastAsia" w:ascii="宋体" w:hAnsi="宋体" w:cs="宋体"/>
          <w:b w:val="0"/>
          <w:bCs/>
          <w:color w:val="auto"/>
          <w:kern w:val="21"/>
          <w:sz w:val="24"/>
          <w:highlight w:val="none"/>
          <w:u w:val="single"/>
          <w:lang w:bidi="ar"/>
        </w:rPr>
        <w:t>致：福建省水利水电工程局有限公司</w:t>
      </w:r>
      <w:r>
        <w:rPr>
          <w:rFonts w:hint="eastAsia" w:ascii="宋体" w:hAnsi="宋体" w:cs="宋体"/>
          <w:b w:val="0"/>
          <w:bCs/>
          <w:color w:val="auto"/>
          <w:sz w:val="24"/>
          <w:highlight w:val="none"/>
          <w:u w:val="single"/>
          <w:lang w:bidi="ar"/>
        </w:rPr>
        <w:t>（</w:t>
      </w:r>
      <w:r>
        <w:rPr>
          <w:rFonts w:hint="eastAsia" w:ascii="宋体" w:hAnsi="宋体" w:cs="宋体"/>
          <w:b w:val="0"/>
          <w:bCs/>
          <w:color w:val="auto"/>
          <w:sz w:val="24"/>
          <w:highlight w:val="none"/>
          <w:u w:val="single"/>
          <w:lang w:val="en-US" w:eastAsia="zh-CN" w:bidi="ar"/>
        </w:rPr>
        <w:t>招选</w:t>
      </w:r>
      <w:r>
        <w:rPr>
          <w:rFonts w:hint="eastAsia" w:ascii="宋体" w:hAnsi="宋体" w:cs="宋体"/>
          <w:b w:val="0"/>
          <w:bCs/>
          <w:color w:val="auto"/>
          <w:sz w:val="24"/>
          <w:highlight w:val="none"/>
          <w:u w:val="single"/>
          <w:lang w:bidi="ar"/>
        </w:rPr>
        <w:t>人）</w:t>
      </w:r>
    </w:p>
    <w:p w14:paraId="135F4A68">
      <w:pPr>
        <w:pStyle w:val="27"/>
        <w:widowControl w:val="0"/>
        <w:numPr>
          <w:ilvl w:val="0"/>
          <w:numId w:val="12"/>
        </w:numPr>
        <w:spacing w:before="0" w:beforeAutospacing="0" w:after="0" w:afterAutospacing="0" w:line="360" w:lineRule="auto"/>
        <w:ind w:firstLine="480" w:firstLineChars="200"/>
        <w:jc w:val="both"/>
        <w:rPr>
          <w:rFonts w:cs="宋体"/>
          <w:b w:val="0"/>
          <w:bCs/>
          <w:color w:val="auto"/>
          <w:kern w:val="2"/>
          <w:sz w:val="28"/>
          <w:szCs w:val="28"/>
          <w:highlight w:val="none"/>
        </w:rPr>
      </w:pPr>
      <w:r>
        <w:rPr>
          <w:rFonts w:hint="eastAsia" w:cs="宋体"/>
          <w:b w:val="0"/>
          <w:bCs/>
          <w:color w:val="auto"/>
          <w:highlight w:val="none"/>
          <w:lang w:bidi="ar"/>
        </w:rPr>
        <w:t>我方已仔细研究</w:t>
      </w:r>
      <w:r>
        <w:rPr>
          <w:rFonts w:hint="eastAsia" w:cs="宋体"/>
          <w:b w:val="0"/>
          <w:bCs/>
          <w:color w:val="auto"/>
          <w:kern w:val="21"/>
          <w:sz w:val="24"/>
          <w:szCs w:val="24"/>
          <w:highlight w:val="none"/>
          <w:u w:val="single"/>
          <w:lang w:bidi="ar"/>
        </w:rPr>
        <w:t>福建省水利水电工程局有限公司</w:t>
      </w:r>
      <w:r>
        <w:rPr>
          <w:rFonts w:hint="eastAsia" w:cs="宋体"/>
          <w:b w:val="0"/>
          <w:bCs/>
          <w:color w:val="auto"/>
          <w:sz w:val="24"/>
          <w:szCs w:val="24"/>
          <w:highlight w:val="none"/>
          <w:u w:val="single"/>
          <w:lang w:bidi="ar"/>
        </w:rPr>
        <w:t>漳州市东南沿海地区九龙江调水工程阀门类采购项目</w:t>
      </w:r>
      <w:r>
        <w:rPr>
          <w:rFonts w:hint="eastAsia" w:cs="宋体"/>
          <w:b w:val="0"/>
          <w:bCs/>
          <w:color w:val="auto"/>
          <w:sz w:val="24"/>
          <w:szCs w:val="24"/>
          <w:highlight w:val="none"/>
          <w:u w:val="single"/>
          <w:lang w:eastAsia="zh-CN" w:bidi="ar"/>
        </w:rPr>
        <w:t>（</w:t>
      </w:r>
      <w:r>
        <w:rPr>
          <w:rFonts w:hint="eastAsia" w:cs="宋体"/>
          <w:b w:val="0"/>
          <w:bCs/>
          <w:color w:val="auto"/>
          <w:sz w:val="24"/>
          <w:szCs w:val="24"/>
          <w:highlight w:val="none"/>
          <w:u w:val="single"/>
          <w:lang w:val="en-US" w:eastAsia="zh-CN" w:bidi="ar"/>
        </w:rPr>
        <w:t>重新招选</w:t>
      </w:r>
      <w:r>
        <w:rPr>
          <w:rFonts w:hint="eastAsia" w:cs="宋体"/>
          <w:b w:val="0"/>
          <w:bCs/>
          <w:color w:val="auto"/>
          <w:sz w:val="24"/>
          <w:szCs w:val="24"/>
          <w:highlight w:val="none"/>
          <w:u w:val="single"/>
          <w:lang w:eastAsia="zh-CN" w:bidi="ar"/>
        </w:rPr>
        <w:t>）</w:t>
      </w:r>
      <w:r>
        <w:rPr>
          <w:rFonts w:hint="eastAsia" w:cs="宋体"/>
          <w:b w:val="0"/>
          <w:bCs/>
          <w:color w:val="auto"/>
          <w:highlight w:val="none"/>
          <w:lang w:bidi="ar"/>
        </w:rPr>
        <w:t>招</w:t>
      </w:r>
      <w:r>
        <w:rPr>
          <w:rFonts w:hint="eastAsia" w:cs="宋体"/>
          <w:b w:val="0"/>
          <w:bCs/>
          <w:color w:val="auto"/>
          <w:highlight w:val="none"/>
          <w:lang w:val="en-US" w:eastAsia="zh-CN" w:bidi="ar"/>
        </w:rPr>
        <w:t>选</w:t>
      </w:r>
      <w:r>
        <w:rPr>
          <w:rFonts w:hint="eastAsia" w:cs="宋体"/>
          <w:b w:val="0"/>
          <w:bCs/>
          <w:color w:val="auto"/>
          <w:highlight w:val="none"/>
          <w:lang w:bidi="ar"/>
        </w:rPr>
        <w:t>文件的全部内容，愿意以人民币（大写）：</w:t>
      </w:r>
      <w:r>
        <w:rPr>
          <w:rFonts w:hint="eastAsia" w:cs="宋体"/>
          <w:b w:val="0"/>
          <w:bCs/>
          <w:color w:val="auto"/>
          <w:highlight w:val="none"/>
          <w:lang w:val="en-US" w:eastAsia="zh-CN" w:bidi="ar"/>
        </w:rPr>
        <w:t xml:space="preserve">             </w:t>
      </w:r>
      <w:r>
        <w:rPr>
          <w:rFonts w:hint="eastAsia" w:cs="宋体"/>
          <w:b w:val="0"/>
          <w:bCs/>
          <w:color w:val="auto"/>
          <w:highlight w:val="none"/>
          <w:u w:val="single"/>
          <w:lang w:bidi="ar"/>
        </w:rPr>
        <w:t xml:space="preserve"> </w:t>
      </w:r>
      <w:r>
        <w:rPr>
          <w:rFonts w:cs="宋体"/>
          <w:b w:val="0"/>
          <w:bCs/>
          <w:color w:val="auto"/>
          <w:highlight w:val="none"/>
          <w:u w:val="single"/>
          <w:lang w:bidi="ar"/>
        </w:rPr>
        <w:t xml:space="preserve">  </w:t>
      </w:r>
      <w:r>
        <w:rPr>
          <w:rFonts w:hint="eastAsia" w:cs="宋体"/>
          <w:b w:val="0"/>
          <w:bCs/>
          <w:color w:val="auto"/>
          <w:highlight w:val="none"/>
          <w:u w:val="single"/>
          <w:lang w:val="en-US" w:eastAsia="zh-CN" w:bidi="ar"/>
        </w:rPr>
        <w:t xml:space="preserve">  </w:t>
      </w:r>
      <w:r>
        <w:rPr>
          <w:rFonts w:hint="eastAsia" w:cs="宋体"/>
          <w:b w:val="0"/>
          <w:bCs/>
          <w:color w:val="auto"/>
          <w:highlight w:val="none"/>
          <w:u w:val="none"/>
          <w:lang w:val="en-US" w:eastAsia="zh-CN" w:bidi="ar"/>
        </w:rPr>
        <w:t xml:space="preserve">         </w:t>
      </w:r>
      <w:r>
        <w:rPr>
          <w:rFonts w:hint="eastAsia" w:cs="宋体"/>
          <w:b w:val="0"/>
          <w:bCs/>
          <w:color w:val="auto"/>
          <w:highlight w:val="none"/>
          <w:u w:val="single"/>
          <w:lang w:val="en-US" w:eastAsia="zh-CN" w:bidi="ar"/>
        </w:rPr>
        <w:t xml:space="preserve">    </w:t>
      </w:r>
      <w:r>
        <w:rPr>
          <w:rFonts w:hint="eastAsia" w:cs="宋体"/>
          <w:b w:val="0"/>
          <w:bCs/>
          <w:color w:val="auto"/>
          <w:highlight w:val="none"/>
          <w:u w:val="none"/>
          <w:lang w:val="en-US" w:eastAsia="zh-CN" w:bidi="ar"/>
        </w:rPr>
        <w:t xml:space="preserve">  </w:t>
      </w:r>
      <w:r>
        <w:rPr>
          <w:rFonts w:hint="eastAsia" w:cs="宋体"/>
          <w:b w:val="0"/>
          <w:bCs/>
          <w:color w:val="auto"/>
          <w:highlight w:val="none"/>
          <w:u w:val="single"/>
          <w:lang w:val="en-US" w:eastAsia="zh-CN" w:bidi="ar"/>
        </w:rPr>
        <w:t xml:space="preserve">            </w:t>
      </w:r>
      <w:r>
        <w:rPr>
          <w:rFonts w:hint="eastAsia" w:cs="宋体"/>
          <w:b w:val="0"/>
          <w:bCs/>
          <w:color w:val="auto"/>
          <w:highlight w:val="none"/>
          <w:u w:val="single"/>
          <w:lang w:bidi="ar"/>
        </w:rPr>
        <w:t xml:space="preserve"> </w:t>
      </w:r>
      <w:r>
        <w:rPr>
          <w:rFonts w:cs="宋体"/>
          <w:b w:val="0"/>
          <w:bCs/>
          <w:color w:val="auto"/>
          <w:highlight w:val="none"/>
          <w:u w:val="single"/>
          <w:lang w:bidi="ar"/>
        </w:rPr>
        <w:t xml:space="preserve">  </w:t>
      </w:r>
      <w:r>
        <w:rPr>
          <w:rFonts w:hint="eastAsia" w:cs="宋体"/>
          <w:b w:val="0"/>
          <w:bCs/>
          <w:color w:val="auto"/>
          <w:highlight w:val="none"/>
          <w:u w:val="single"/>
          <w:lang w:val="en-US" w:eastAsia="zh-CN" w:bidi="ar"/>
        </w:rPr>
        <w:t xml:space="preserve">   </w:t>
      </w:r>
      <w:r>
        <w:rPr>
          <w:rFonts w:hint="eastAsia" w:cs="宋体"/>
          <w:b w:val="0"/>
          <w:bCs/>
          <w:color w:val="auto"/>
          <w:highlight w:val="none"/>
          <w:u w:val="none"/>
          <w:lang w:bidi="ar"/>
        </w:rPr>
        <w:t>元</w:t>
      </w:r>
      <w:r>
        <w:rPr>
          <w:rFonts w:hint="eastAsia" w:cs="宋体"/>
          <w:b w:val="0"/>
          <w:bCs/>
          <w:color w:val="auto"/>
          <w:highlight w:val="none"/>
          <w:u w:val="single"/>
          <w:lang w:bidi="ar"/>
        </w:rPr>
        <w:t xml:space="preserve"> </w:t>
      </w:r>
      <w:r>
        <w:rPr>
          <w:rFonts w:cs="宋体"/>
          <w:b w:val="0"/>
          <w:bCs/>
          <w:color w:val="auto"/>
          <w:highlight w:val="none"/>
          <w:u w:val="single"/>
          <w:lang w:bidi="ar"/>
        </w:rPr>
        <w:t xml:space="preserve">  </w:t>
      </w:r>
      <w:r>
        <w:rPr>
          <w:rFonts w:hint="eastAsia" w:cs="宋体"/>
          <w:b w:val="0"/>
          <w:bCs/>
          <w:color w:val="auto"/>
          <w:highlight w:val="none"/>
          <w:u w:val="none"/>
          <w:lang w:bidi="ar"/>
        </w:rPr>
        <w:t>角</w:t>
      </w:r>
      <w:r>
        <w:rPr>
          <w:rFonts w:hint="eastAsia" w:cs="宋体"/>
          <w:b w:val="0"/>
          <w:bCs/>
          <w:color w:val="auto"/>
          <w:highlight w:val="none"/>
          <w:u w:val="single"/>
          <w:lang w:bidi="ar"/>
        </w:rPr>
        <w:t xml:space="preserve"> </w:t>
      </w:r>
      <w:r>
        <w:rPr>
          <w:rFonts w:cs="宋体"/>
          <w:b w:val="0"/>
          <w:bCs/>
          <w:color w:val="auto"/>
          <w:highlight w:val="none"/>
          <w:u w:val="single"/>
          <w:lang w:bidi="ar"/>
        </w:rPr>
        <w:t xml:space="preserve">  </w:t>
      </w:r>
      <w:r>
        <w:rPr>
          <w:rFonts w:hint="eastAsia" w:cs="宋体"/>
          <w:b w:val="0"/>
          <w:bCs/>
          <w:color w:val="auto"/>
          <w:highlight w:val="none"/>
          <w:u w:val="none"/>
          <w:lang w:bidi="ar"/>
        </w:rPr>
        <w:t>分</w:t>
      </w:r>
      <w:r>
        <w:rPr>
          <w:rFonts w:hint="eastAsia" w:cs="宋体"/>
          <w:b w:val="0"/>
          <w:bCs/>
          <w:color w:val="auto"/>
          <w:highlight w:val="none"/>
          <w:lang w:bidi="ar"/>
        </w:rPr>
        <w:t>（¥</w:t>
      </w:r>
      <w:r>
        <w:rPr>
          <w:rFonts w:hint="eastAsia" w:cs="宋体"/>
          <w:b w:val="0"/>
          <w:bCs/>
          <w:color w:val="auto"/>
          <w:highlight w:val="none"/>
          <w:u w:val="single"/>
          <w:lang w:bidi="ar"/>
        </w:rPr>
        <w:t xml:space="preserve">         元）</w:t>
      </w:r>
      <w:r>
        <w:rPr>
          <w:rFonts w:ascii="宋体" w:hAnsi="宋体" w:eastAsia="宋体" w:cs="宋体"/>
          <w:b w:val="0"/>
          <w:bCs/>
          <w:color w:val="auto"/>
          <w:sz w:val="24"/>
          <w:szCs w:val="24"/>
          <w:highlight w:val="none"/>
        </w:rPr>
        <w:t>作为本项目总报价（报价金额保留小数点后两位）。我方承诺将严格</w:t>
      </w:r>
      <w:r>
        <w:rPr>
          <w:rFonts w:hint="eastAsia" w:cs="宋体"/>
          <w:b w:val="0"/>
          <w:bCs/>
          <w:color w:val="auto"/>
          <w:highlight w:val="none"/>
          <w:lang w:bidi="ar"/>
        </w:rPr>
        <w:t>按合同约定实施和完成供货任务，工程质量符合施工图设计要求、</w:t>
      </w:r>
      <w:r>
        <w:rPr>
          <w:rFonts w:hint="eastAsia" w:cs="宋体"/>
          <w:b w:val="0"/>
          <w:bCs/>
          <w:color w:val="auto"/>
          <w:highlight w:val="none"/>
          <w:lang w:eastAsia="zh-CN" w:bidi="ar"/>
        </w:rPr>
        <w:t>招选</w:t>
      </w:r>
      <w:r>
        <w:rPr>
          <w:rFonts w:hint="eastAsia" w:cs="宋体"/>
          <w:b w:val="0"/>
          <w:bCs/>
          <w:color w:val="auto"/>
          <w:highlight w:val="none"/>
          <w:lang w:bidi="ar"/>
        </w:rPr>
        <w:t xml:space="preserve">合同相关技术条款和国家现行有关标准、规范和质量验收标准。 </w:t>
      </w:r>
    </w:p>
    <w:p w14:paraId="67E4D872">
      <w:pPr>
        <w:autoSpaceDE w:val="0"/>
        <w:spacing w:line="360" w:lineRule="auto"/>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lang w:eastAsia="zh-CN" w:bidi="ar"/>
        </w:rPr>
        <w:t>2.</w:t>
      </w:r>
      <w:r>
        <w:rPr>
          <w:rFonts w:hint="eastAsia" w:ascii="宋体" w:hAnsi="宋体" w:cs="宋体"/>
          <w:b w:val="0"/>
          <w:bCs/>
          <w:color w:val="auto"/>
          <w:sz w:val="24"/>
          <w:highlight w:val="none"/>
          <w:lang w:bidi="ar"/>
        </w:rPr>
        <w:t>我方承诺在</w:t>
      </w:r>
      <w:r>
        <w:rPr>
          <w:rFonts w:hint="eastAsia" w:ascii="宋体" w:hAnsi="宋体" w:cs="宋体"/>
          <w:b w:val="0"/>
          <w:bCs/>
          <w:color w:val="auto"/>
          <w:sz w:val="24"/>
          <w:highlight w:val="none"/>
          <w:lang w:eastAsia="zh-CN" w:bidi="ar"/>
        </w:rPr>
        <w:t>参选</w:t>
      </w:r>
      <w:r>
        <w:rPr>
          <w:rFonts w:hint="eastAsia" w:ascii="宋体" w:hAnsi="宋体" w:cs="宋体"/>
          <w:b w:val="0"/>
          <w:bCs/>
          <w:color w:val="auto"/>
          <w:sz w:val="24"/>
          <w:highlight w:val="none"/>
          <w:lang w:bidi="ar"/>
        </w:rPr>
        <w:t>有效期内不补充、修改、替代或者撤回本</w:t>
      </w:r>
      <w:r>
        <w:rPr>
          <w:rFonts w:hint="eastAsia" w:ascii="宋体" w:hAnsi="宋体" w:cs="宋体"/>
          <w:b w:val="0"/>
          <w:bCs/>
          <w:color w:val="auto"/>
          <w:sz w:val="24"/>
          <w:highlight w:val="none"/>
          <w:lang w:eastAsia="zh-CN" w:bidi="ar"/>
        </w:rPr>
        <w:t>参选</w:t>
      </w:r>
      <w:r>
        <w:rPr>
          <w:rFonts w:hint="eastAsia" w:ascii="宋体" w:hAnsi="宋体" w:cs="宋体"/>
          <w:b w:val="0"/>
          <w:bCs/>
          <w:color w:val="auto"/>
          <w:sz w:val="24"/>
          <w:highlight w:val="none"/>
          <w:lang w:bidi="ar"/>
        </w:rPr>
        <w:t>响应文件。</w:t>
      </w:r>
    </w:p>
    <w:p w14:paraId="00ACEBF7">
      <w:pPr>
        <w:spacing w:line="360" w:lineRule="auto"/>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lang w:eastAsia="zh-CN" w:bidi="ar"/>
        </w:rPr>
        <w:t>3.</w:t>
      </w:r>
      <w:r>
        <w:rPr>
          <w:rFonts w:hint="eastAsia" w:ascii="宋体" w:hAnsi="宋体" w:cs="宋体"/>
          <w:b w:val="0"/>
          <w:bCs/>
          <w:color w:val="auto"/>
          <w:sz w:val="24"/>
          <w:highlight w:val="none"/>
          <w:lang w:bidi="ar"/>
        </w:rPr>
        <w:t>如我方中标：</w:t>
      </w:r>
    </w:p>
    <w:p w14:paraId="52E70B78">
      <w:pPr>
        <w:spacing w:line="360" w:lineRule="auto"/>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lang w:bidi="ar"/>
        </w:rPr>
        <w:t>（1）我方承诺在收到成交通知书后，在成交通知书规定的期限内与你方签订合同。</w:t>
      </w:r>
    </w:p>
    <w:p w14:paraId="1ED23319">
      <w:pPr>
        <w:spacing w:line="360" w:lineRule="auto"/>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lang w:bidi="ar"/>
        </w:rPr>
        <w:t>（</w:t>
      </w:r>
      <w:r>
        <w:rPr>
          <w:rFonts w:ascii="宋体" w:hAnsi="宋体" w:cs="宋体"/>
          <w:b w:val="0"/>
          <w:bCs/>
          <w:color w:val="auto"/>
          <w:sz w:val="24"/>
          <w:highlight w:val="none"/>
          <w:lang w:bidi="ar"/>
        </w:rPr>
        <w:t>2</w:t>
      </w:r>
      <w:r>
        <w:rPr>
          <w:rFonts w:hint="eastAsia" w:ascii="宋体" w:hAnsi="宋体" w:cs="宋体"/>
          <w:b w:val="0"/>
          <w:bCs/>
          <w:color w:val="auto"/>
          <w:sz w:val="24"/>
          <w:highlight w:val="none"/>
          <w:lang w:bidi="ar"/>
        </w:rPr>
        <w:t>）我方承诺在合同约定的期限内完成交货。</w:t>
      </w:r>
    </w:p>
    <w:p w14:paraId="6F68D9E4">
      <w:pPr>
        <w:widowControl/>
        <w:snapToGrid w:val="0"/>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lang w:bidi="ar"/>
        </w:rPr>
        <w:t xml:space="preserve">    4. 我方将派出</w:t>
      </w:r>
      <w:r>
        <w:rPr>
          <w:rFonts w:hint="eastAsia" w:ascii="宋体" w:hAnsi="宋体" w:cs="宋体"/>
          <w:b w:val="0"/>
          <w:bCs/>
          <w:color w:val="auto"/>
          <w:sz w:val="24"/>
          <w:highlight w:val="none"/>
          <w:u w:val="single"/>
          <w:lang w:bidi="ar"/>
        </w:rPr>
        <w:t>（填入项目负责人姓名、身份证号码、联系方式）</w:t>
      </w:r>
      <w:r>
        <w:rPr>
          <w:rFonts w:hint="eastAsia" w:ascii="宋体" w:hAnsi="宋体" w:cs="宋体"/>
          <w:b w:val="0"/>
          <w:bCs/>
          <w:color w:val="auto"/>
          <w:sz w:val="24"/>
          <w:highlight w:val="none"/>
          <w:lang w:bidi="ar"/>
        </w:rPr>
        <w:t>为本项目的项目负责人。</w:t>
      </w:r>
    </w:p>
    <w:p w14:paraId="3AFC8A46">
      <w:pPr>
        <w:widowControl/>
        <w:snapToGrid w:val="0"/>
        <w:spacing w:line="360" w:lineRule="auto"/>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lang w:eastAsia="zh-CN" w:bidi="ar"/>
        </w:rPr>
        <w:t>5.</w:t>
      </w:r>
      <w:r>
        <w:rPr>
          <w:rFonts w:hint="eastAsia" w:ascii="宋体" w:hAnsi="宋体" w:cs="宋体"/>
          <w:b w:val="0"/>
          <w:bCs/>
          <w:color w:val="auto"/>
          <w:sz w:val="24"/>
          <w:highlight w:val="none"/>
          <w:lang w:bidi="ar"/>
        </w:rPr>
        <w:t>我方在此声明，所递交的</w:t>
      </w:r>
      <w:r>
        <w:rPr>
          <w:rFonts w:hint="eastAsia" w:ascii="宋体" w:hAnsi="宋体" w:cs="宋体"/>
          <w:b w:val="0"/>
          <w:bCs/>
          <w:color w:val="auto"/>
          <w:sz w:val="24"/>
          <w:highlight w:val="none"/>
          <w:lang w:eastAsia="zh-CN" w:bidi="ar"/>
        </w:rPr>
        <w:t>参选</w:t>
      </w:r>
      <w:r>
        <w:rPr>
          <w:rFonts w:hint="eastAsia" w:ascii="宋体" w:hAnsi="宋体" w:cs="宋体"/>
          <w:b w:val="0"/>
          <w:bCs/>
          <w:color w:val="auto"/>
          <w:sz w:val="24"/>
          <w:highlight w:val="none"/>
          <w:lang w:bidi="ar"/>
        </w:rPr>
        <w:t>文件及有关资料内容完整、真实和准确。</w:t>
      </w:r>
    </w:p>
    <w:p w14:paraId="32CDD698">
      <w:pPr>
        <w:spacing w:line="440" w:lineRule="exact"/>
        <w:rPr>
          <w:rFonts w:ascii="宋体" w:hAnsi="宋体" w:cs="宋体"/>
          <w:sz w:val="24"/>
          <w:highlight w:val="none"/>
          <w:lang w:bidi="ar"/>
        </w:rPr>
      </w:pPr>
      <w:r>
        <w:rPr>
          <w:rFonts w:hint="eastAsia" w:ascii="宋体" w:hAnsi="宋体" w:cs="宋体"/>
          <w:sz w:val="24"/>
          <w:highlight w:val="none"/>
          <w:lang w:bidi="ar"/>
        </w:rPr>
        <w:t xml:space="preserve"> </w:t>
      </w:r>
    </w:p>
    <w:p w14:paraId="092F8670">
      <w:pPr>
        <w:spacing w:line="440" w:lineRule="exact"/>
        <w:rPr>
          <w:rFonts w:ascii="宋体" w:hAnsi="宋体" w:cs="宋体"/>
          <w:sz w:val="24"/>
          <w:highlight w:val="none"/>
          <w:lang w:bidi="ar"/>
        </w:rPr>
      </w:pPr>
      <w:r>
        <w:rPr>
          <w:rFonts w:hint="eastAsia" w:ascii="宋体" w:hAnsi="宋体" w:cs="宋体"/>
          <w:sz w:val="24"/>
          <w:highlight w:val="none"/>
          <w:lang w:bidi="ar"/>
        </w:rPr>
        <w:t xml:space="preserve"> </w:t>
      </w:r>
    </w:p>
    <w:p w14:paraId="7013224F">
      <w:pPr>
        <w:spacing w:line="440" w:lineRule="exact"/>
        <w:rPr>
          <w:rFonts w:ascii="宋体" w:hAnsi="宋体" w:cs="宋体"/>
          <w:sz w:val="24"/>
          <w:highlight w:val="none"/>
          <w:lang w:bidi="ar"/>
        </w:rPr>
      </w:pPr>
    </w:p>
    <w:p w14:paraId="4DA7875D">
      <w:pPr>
        <w:pStyle w:val="2"/>
        <w:ind w:firstLine="560"/>
        <w:rPr>
          <w:highlight w:val="none"/>
          <w:lang w:bidi="ar"/>
        </w:rPr>
      </w:pPr>
    </w:p>
    <w:p w14:paraId="5C4DDB0D">
      <w:pPr>
        <w:spacing w:line="440" w:lineRule="exact"/>
        <w:ind w:firstLine="4200" w:firstLineChars="1750"/>
        <w:rPr>
          <w:rFonts w:ascii="宋体" w:hAnsi="宋体" w:cs="宋体"/>
          <w:sz w:val="24"/>
          <w:highlight w:val="none"/>
          <w:u w:val="single"/>
        </w:rPr>
      </w:pPr>
      <w:r>
        <w:rPr>
          <w:rFonts w:hint="eastAsia" w:ascii="宋体" w:hAnsi="宋体" w:cs="宋体"/>
          <w:sz w:val="24"/>
          <w:highlight w:val="none"/>
          <w:lang w:val="en-US" w:eastAsia="zh-CN" w:bidi="ar"/>
        </w:rPr>
        <w:t>参选人</w:t>
      </w:r>
      <w:r>
        <w:rPr>
          <w:rFonts w:hint="eastAsia" w:ascii="宋体" w:hAnsi="宋体" w:cs="宋体"/>
          <w:sz w:val="24"/>
          <w:highlight w:val="none"/>
          <w:lang w:bidi="ar"/>
        </w:rPr>
        <w:t>名称：</w:t>
      </w:r>
      <w:r>
        <w:rPr>
          <w:rFonts w:hint="eastAsia" w:ascii="宋体" w:hAnsi="宋体" w:cs="宋体"/>
          <w:sz w:val="24"/>
          <w:highlight w:val="none"/>
          <w:u w:val="single"/>
          <w:lang w:bidi="ar"/>
        </w:rPr>
        <w:t xml:space="preserve">（盖单位公章）  </w:t>
      </w:r>
    </w:p>
    <w:p w14:paraId="5B3F31E1">
      <w:pPr>
        <w:spacing w:line="440" w:lineRule="exact"/>
        <w:ind w:firstLine="4200" w:firstLineChars="1750"/>
        <w:rPr>
          <w:rFonts w:ascii="宋体" w:hAnsi="宋体" w:cs="宋体"/>
          <w:sz w:val="24"/>
          <w:highlight w:val="none"/>
        </w:rPr>
      </w:pPr>
      <w:r>
        <w:rPr>
          <w:rFonts w:hint="eastAsia" w:ascii="宋体" w:hAnsi="宋体" w:cs="宋体"/>
          <w:sz w:val="24"/>
          <w:highlight w:val="none"/>
          <w:lang w:bidi="ar"/>
        </w:rPr>
        <w:t>法定代表人或其委托代理人：</w:t>
      </w:r>
      <w:r>
        <w:rPr>
          <w:rFonts w:hint="eastAsia" w:ascii="宋体" w:hAnsi="宋体" w:cs="宋体"/>
          <w:sz w:val="24"/>
          <w:highlight w:val="none"/>
          <w:u w:val="single"/>
          <w:lang w:bidi="ar"/>
        </w:rPr>
        <w:t xml:space="preserve">       </w:t>
      </w:r>
      <w:r>
        <w:rPr>
          <w:rFonts w:hint="eastAsia" w:ascii="宋体" w:hAnsi="宋体" w:cs="宋体"/>
          <w:sz w:val="24"/>
          <w:highlight w:val="none"/>
          <w:lang w:bidi="ar"/>
        </w:rPr>
        <w:t>（签字）</w:t>
      </w:r>
    </w:p>
    <w:p w14:paraId="630E0D8A">
      <w:pPr>
        <w:spacing w:line="440" w:lineRule="exact"/>
        <w:rPr>
          <w:rFonts w:ascii="宋体" w:hAnsi="宋体" w:cs="宋体"/>
          <w:b/>
          <w:sz w:val="24"/>
          <w:highlight w:val="none"/>
        </w:rPr>
      </w:pP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t xml:space="preserve">                                   日期：</w:t>
      </w:r>
      <w:r>
        <w:rPr>
          <w:rFonts w:hint="eastAsia" w:ascii="宋体" w:hAnsi="宋体" w:cs="宋体"/>
          <w:sz w:val="24"/>
          <w:highlight w:val="none"/>
          <w:u w:val="single"/>
          <w:lang w:bidi="ar"/>
        </w:rPr>
        <w:t xml:space="preserve">     </w:t>
      </w:r>
      <w:r>
        <w:rPr>
          <w:rFonts w:hint="eastAsia" w:ascii="宋体" w:hAnsi="宋体" w:cs="宋体"/>
          <w:sz w:val="24"/>
          <w:highlight w:val="none"/>
          <w:lang w:bidi="ar"/>
        </w:rPr>
        <w:t>年</w:t>
      </w:r>
      <w:r>
        <w:rPr>
          <w:rFonts w:hint="eastAsia" w:ascii="宋体" w:hAnsi="宋体" w:cs="宋体"/>
          <w:sz w:val="24"/>
          <w:highlight w:val="none"/>
          <w:u w:val="single"/>
          <w:lang w:bidi="ar"/>
        </w:rPr>
        <w:t xml:space="preserve">    </w:t>
      </w:r>
      <w:r>
        <w:rPr>
          <w:rFonts w:hint="eastAsia" w:ascii="宋体" w:hAnsi="宋体" w:cs="宋体"/>
          <w:sz w:val="24"/>
          <w:highlight w:val="none"/>
          <w:lang w:bidi="ar"/>
        </w:rPr>
        <w:t>月</w:t>
      </w:r>
      <w:r>
        <w:rPr>
          <w:rFonts w:hint="eastAsia" w:ascii="宋体" w:hAnsi="宋体" w:cs="宋体"/>
          <w:sz w:val="24"/>
          <w:highlight w:val="none"/>
          <w:u w:val="single"/>
          <w:lang w:bidi="ar"/>
        </w:rPr>
        <w:t xml:space="preserve">    </w:t>
      </w:r>
      <w:r>
        <w:rPr>
          <w:rFonts w:hint="eastAsia" w:ascii="宋体" w:hAnsi="宋体" w:cs="宋体"/>
          <w:sz w:val="24"/>
          <w:highlight w:val="none"/>
          <w:lang w:bidi="ar"/>
        </w:rPr>
        <w:t>日</w:t>
      </w:r>
    </w:p>
    <w:p w14:paraId="5B0D2D18">
      <w:pPr>
        <w:rPr>
          <w:rFonts w:ascii="宋体" w:hAnsi="宋体" w:cs="宋体"/>
          <w:b/>
          <w:sz w:val="32"/>
          <w:szCs w:val="32"/>
          <w:highlight w:val="none"/>
        </w:rPr>
      </w:pPr>
    </w:p>
    <w:p w14:paraId="5A3A4173">
      <w:pPr>
        <w:rPr>
          <w:rFonts w:ascii="宋体" w:hAnsi="宋体" w:cs="宋体"/>
          <w:b/>
          <w:sz w:val="32"/>
          <w:szCs w:val="32"/>
          <w:highlight w:val="none"/>
        </w:rPr>
      </w:pPr>
    </w:p>
    <w:p w14:paraId="01A5CD85">
      <w:pPr>
        <w:rPr>
          <w:rFonts w:ascii="宋体" w:hAnsi="宋体" w:cs="宋体"/>
          <w:b/>
          <w:sz w:val="32"/>
          <w:szCs w:val="32"/>
          <w:highlight w:val="none"/>
        </w:rPr>
      </w:pPr>
    </w:p>
    <w:p w14:paraId="5E33E0F5">
      <w:pPr>
        <w:rPr>
          <w:rFonts w:ascii="宋体" w:hAnsi="宋体" w:cs="宋体"/>
          <w:b/>
          <w:sz w:val="32"/>
          <w:szCs w:val="32"/>
          <w:highlight w:val="none"/>
        </w:rPr>
      </w:pPr>
    </w:p>
    <w:p w14:paraId="282423BE">
      <w:pPr>
        <w:rPr>
          <w:rFonts w:ascii="宋体" w:hAnsi="宋体" w:cs="宋体"/>
          <w:b/>
          <w:sz w:val="32"/>
          <w:szCs w:val="32"/>
          <w:highlight w:val="none"/>
        </w:rPr>
        <w:sectPr>
          <w:pgSz w:w="11906" w:h="16838"/>
          <w:pgMar w:top="1418" w:right="1418" w:bottom="1418" w:left="1588" w:header="851" w:footer="992" w:gutter="0"/>
          <w:pgNumType w:fmt="decimal"/>
          <w:cols w:space="720" w:num="1"/>
          <w:docGrid w:type="lines" w:linePitch="312" w:charSpace="0"/>
        </w:sectPr>
      </w:pPr>
    </w:p>
    <w:p w14:paraId="62516CD3">
      <w:pPr>
        <w:pageBreakBefore/>
        <w:spacing w:line="440" w:lineRule="exact"/>
        <w:jc w:val="center"/>
        <w:outlineLvl w:val="1"/>
        <w:rPr>
          <w:rFonts w:ascii="宋体" w:hAnsi="宋体" w:cs="宋体"/>
          <w:b/>
          <w:bCs w:val="0"/>
          <w:color w:val="FF0000"/>
          <w:sz w:val="32"/>
          <w:szCs w:val="32"/>
          <w:highlight w:val="none"/>
          <w:lang w:bidi="ar"/>
        </w:rPr>
      </w:pPr>
      <w:bookmarkStart w:id="588" w:name="_Toc82589580"/>
      <w:bookmarkStart w:id="589" w:name="_Toc109888279"/>
      <w:bookmarkStart w:id="590" w:name="_Toc120110858"/>
      <w:r>
        <w:rPr>
          <w:rFonts w:hint="eastAsia" w:ascii="宋体" w:hAnsi="宋体" w:cs="宋体"/>
          <w:b/>
          <w:bCs w:val="0"/>
          <w:color w:val="auto"/>
          <w:sz w:val="32"/>
          <w:szCs w:val="32"/>
          <w:highlight w:val="none"/>
          <w:lang w:bidi="ar"/>
        </w:rPr>
        <w:t>三、</w:t>
      </w:r>
      <w:bookmarkEnd w:id="588"/>
      <w:bookmarkEnd w:id="589"/>
      <w:bookmarkEnd w:id="590"/>
      <w:r>
        <w:rPr>
          <w:rFonts w:hint="eastAsia" w:ascii="宋体" w:hAnsi="宋体" w:cs="宋体"/>
          <w:b/>
          <w:bCs w:val="0"/>
          <w:color w:val="auto"/>
          <w:sz w:val="30"/>
          <w:szCs w:val="30"/>
          <w:highlight w:val="none"/>
          <w:lang w:val="en-US" w:eastAsia="zh-CN" w:bidi="ar"/>
        </w:rPr>
        <w:t>采购清单报价表</w:t>
      </w:r>
    </w:p>
    <w:p w14:paraId="225F04D6">
      <w:pPr>
        <w:ind w:firstLine="10920" w:firstLineChars="5200"/>
        <w:rPr>
          <w:rFonts w:hint="eastAsia" w:ascii="宋体" w:hAnsi="宋体"/>
          <w:bCs/>
          <w:szCs w:val="21"/>
          <w:highlight w:val="none"/>
        </w:rPr>
      </w:pPr>
      <w:r>
        <w:rPr>
          <w:rFonts w:hint="eastAsia" w:ascii="宋体" w:hAnsi="宋体"/>
          <w:bCs/>
          <w:szCs w:val="21"/>
          <w:highlight w:val="none"/>
        </w:rPr>
        <w:t>计量单位：人民币（元）</w:t>
      </w:r>
    </w:p>
    <w:tbl>
      <w:tblPr>
        <w:tblStyle w:val="31"/>
        <w:tblW w:w="14288" w:type="dxa"/>
        <w:jc w:val="center"/>
        <w:tblLayout w:type="fixed"/>
        <w:tblCellMar>
          <w:top w:w="0" w:type="dxa"/>
          <w:left w:w="108" w:type="dxa"/>
          <w:bottom w:w="0" w:type="dxa"/>
          <w:right w:w="108" w:type="dxa"/>
        </w:tblCellMar>
      </w:tblPr>
      <w:tblGrid>
        <w:gridCol w:w="700"/>
        <w:gridCol w:w="1860"/>
        <w:gridCol w:w="2440"/>
        <w:gridCol w:w="1080"/>
        <w:gridCol w:w="844"/>
        <w:gridCol w:w="1143"/>
        <w:gridCol w:w="1477"/>
        <w:gridCol w:w="1327"/>
        <w:gridCol w:w="3417"/>
      </w:tblGrid>
      <w:tr w14:paraId="3BAB86D5">
        <w:tblPrEx>
          <w:tblCellMar>
            <w:top w:w="0" w:type="dxa"/>
            <w:left w:w="108" w:type="dxa"/>
            <w:bottom w:w="0" w:type="dxa"/>
            <w:right w:w="108" w:type="dxa"/>
          </w:tblCellMar>
        </w:tblPrEx>
        <w:trPr>
          <w:trHeight w:val="825" w:hRule="atLeast"/>
          <w:tblHeader/>
          <w:jc w:val="center"/>
        </w:trPr>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C37362">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序号</w:t>
            </w:r>
          </w:p>
        </w:tc>
        <w:tc>
          <w:tcPr>
            <w:tcW w:w="1860" w:type="dxa"/>
            <w:tcBorders>
              <w:top w:val="single" w:color="auto" w:sz="4" w:space="0"/>
              <w:left w:val="nil"/>
              <w:bottom w:val="single" w:color="auto" w:sz="4" w:space="0"/>
              <w:right w:val="single" w:color="auto" w:sz="4" w:space="0"/>
            </w:tcBorders>
            <w:shd w:val="clear" w:color="auto" w:fill="auto"/>
            <w:noWrap/>
            <w:vAlign w:val="center"/>
          </w:tcPr>
          <w:p w14:paraId="611CD496">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产品名称</w:t>
            </w:r>
          </w:p>
        </w:tc>
        <w:tc>
          <w:tcPr>
            <w:tcW w:w="2440" w:type="dxa"/>
            <w:tcBorders>
              <w:top w:val="single" w:color="auto" w:sz="4" w:space="0"/>
              <w:left w:val="nil"/>
              <w:bottom w:val="single" w:color="auto" w:sz="4" w:space="0"/>
              <w:right w:val="single" w:color="auto" w:sz="4" w:space="0"/>
            </w:tcBorders>
            <w:shd w:val="clear" w:color="auto" w:fill="auto"/>
            <w:noWrap/>
            <w:vAlign w:val="center"/>
          </w:tcPr>
          <w:p w14:paraId="36D05D30">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规格型号</w:t>
            </w:r>
          </w:p>
        </w:tc>
        <w:tc>
          <w:tcPr>
            <w:tcW w:w="1080" w:type="dxa"/>
            <w:tcBorders>
              <w:top w:val="single" w:color="auto" w:sz="4" w:space="0"/>
              <w:left w:val="nil"/>
              <w:bottom w:val="single" w:color="auto" w:sz="4" w:space="0"/>
              <w:right w:val="single" w:color="auto" w:sz="4" w:space="0"/>
            </w:tcBorders>
            <w:shd w:val="clear" w:color="auto" w:fill="auto"/>
            <w:noWrap/>
            <w:vAlign w:val="center"/>
          </w:tcPr>
          <w:p w14:paraId="3899ED14">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计量单位</w:t>
            </w:r>
          </w:p>
        </w:tc>
        <w:tc>
          <w:tcPr>
            <w:tcW w:w="844" w:type="dxa"/>
            <w:tcBorders>
              <w:top w:val="single" w:color="auto" w:sz="4" w:space="0"/>
              <w:left w:val="nil"/>
              <w:bottom w:val="single" w:color="auto" w:sz="4" w:space="0"/>
              <w:right w:val="single" w:color="auto" w:sz="4" w:space="0"/>
            </w:tcBorders>
            <w:shd w:val="clear" w:color="auto" w:fill="auto"/>
            <w:noWrap/>
            <w:vAlign w:val="center"/>
          </w:tcPr>
          <w:p w14:paraId="2A2148A8">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数量</w:t>
            </w:r>
          </w:p>
        </w:tc>
        <w:tc>
          <w:tcPr>
            <w:tcW w:w="1143" w:type="dxa"/>
            <w:tcBorders>
              <w:top w:val="single" w:color="auto" w:sz="4" w:space="0"/>
              <w:left w:val="nil"/>
              <w:bottom w:val="single" w:color="auto" w:sz="4" w:space="0"/>
              <w:right w:val="single" w:color="auto" w:sz="4" w:space="0"/>
            </w:tcBorders>
            <w:shd w:val="clear" w:color="auto" w:fill="auto"/>
            <w:noWrap/>
            <w:vAlign w:val="center"/>
          </w:tcPr>
          <w:p w14:paraId="6A943639">
            <w:pPr>
              <w:widowControl/>
              <w:spacing w:line="240" w:lineRule="auto"/>
              <w:jc w:val="center"/>
              <w:rPr>
                <w:rFonts w:ascii="宋体" w:hAnsi="宋体" w:eastAsia="宋体" w:cs="宋体"/>
                <w:kern w:val="0"/>
                <w:sz w:val="20"/>
                <w:szCs w:val="20"/>
                <w:highlight w:val="none"/>
              </w:rPr>
            </w:pPr>
            <w:r>
              <w:rPr>
                <w:rFonts w:hint="eastAsia" w:ascii="宋体" w:hAnsi="宋体" w:eastAsia="宋体" w:cs="宋体"/>
                <w:kern w:val="0"/>
                <w:sz w:val="20"/>
                <w:szCs w:val="20"/>
                <w:highlight w:val="none"/>
              </w:rPr>
              <w:t>单价</w:t>
            </w:r>
          </w:p>
          <w:p w14:paraId="4CECA429">
            <w:pPr>
              <w:widowControl/>
              <w:spacing w:line="240" w:lineRule="auto"/>
              <w:jc w:val="center"/>
              <w:rPr>
                <w:rFonts w:ascii="宋体" w:hAnsi="宋体" w:eastAsia="宋体" w:cs="宋体"/>
                <w:kern w:val="0"/>
                <w:sz w:val="20"/>
                <w:szCs w:val="20"/>
                <w:highlight w:val="none"/>
              </w:rPr>
            </w:pPr>
            <w:r>
              <w:rPr>
                <w:rFonts w:hint="eastAsia" w:ascii="宋体" w:hAnsi="宋体" w:eastAsia="宋体" w:cs="宋体"/>
                <w:kern w:val="0"/>
                <w:sz w:val="20"/>
                <w:szCs w:val="20"/>
                <w:highlight w:val="none"/>
              </w:rPr>
              <w:t>（元）</w:t>
            </w:r>
          </w:p>
        </w:tc>
        <w:tc>
          <w:tcPr>
            <w:tcW w:w="1477" w:type="dxa"/>
            <w:tcBorders>
              <w:top w:val="single" w:color="auto" w:sz="4" w:space="0"/>
              <w:left w:val="nil"/>
              <w:bottom w:val="single" w:color="auto" w:sz="4" w:space="0"/>
              <w:right w:val="single" w:color="auto" w:sz="4" w:space="0"/>
            </w:tcBorders>
            <w:shd w:val="clear" w:color="000000" w:fill="FFFFFF"/>
            <w:vAlign w:val="center"/>
          </w:tcPr>
          <w:p w14:paraId="36F76FDA">
            <w:pPr>
              <w:widowControl/>
              <w:spacing w:line="240" w:lineRule="auto"/>
              <w:jc w:val="center"/>
              <w:rPr>
                <w:rFonts w:ascii="宋体" w:hAnsi="宋体" w:eastAsia="宋体" w:cs="宋体"/>
                <w:kern w:val="0"/>
                <w:sz w:val="20"/>
                <w:szCs w:val="20"/>
                <w:highlight w:val="none"/>
              </w:rPr>
            </w:pPr>
            <w:r>
              <w:rPr>
                <w:rFonts w:hint="eastAsia" w:ascii="宋体" w:hAnsi="宋体" w:eastAsia="宋体" w:cs="宋体"/>
                <w:kern w:val="0"/>
                <w:sz w:val="20"/>
                <w:szCs w:val="20"/>
                <w:highlight w:val="none"/>
              </w:rPr>
              <w:t>最高控制价（元）</w:t>
            </w:r>
          </w:p>
        </w:tc>
        <w:tc>
          <w:tcPr>
            <w:tcW w:w="1327" w:type="dxa"/>
            <w:tcBorders>
              <w:top w:val="single" w:color="auto" w:sz="4" w:space="0"/>
              <w:left w:val="nil"/>
              <w:bottom w:val="single" w:color="auto" w:sz="4" w:space="0"/>
              <w:right w:val="single" w:color="auto" w:sz="4" w:space="0"/>
            </w:tcBorders>
            <w:shd w:val="clear" w:color="000000" w:fill="FFFFFF"/>
            <w:vAlign w:val="center"/>
          </w:tcPr>
          <w:p w14:paraId="136F9FEB">
            <w:pPr>
              <w:widowControl/>
              <w:spacing w:line="240" w:lineRule="auto"/>
              <w:jc w:val="center"/>
              <w:rPr>
                <w:rFonts w:ascii="宋体" w:hAnsi="宋体" w:eastAsia="宋体" w:cs="宋体"/>
                <w:kern w:val="0"/>
                <w:sz w:val="20"/>
                <w:szCs w:val="20"/>
                <w:highlight w:val="none"/>
              </w:rPr>
            </w:pPr>
            <w:r>
              <w:rPr>
                <w:rFonts w:hint="eastAsia" w:ascii="宋体" w:hAnsi="宋体" w:eastAsia="宋体" w:cs="宋体"/>
                <w:kern w:val="0"/>
                <w:sz w:val="20"/>
                <w:szCs w:val="20"/>
                <w:highlight w:val="none"/>
                <w:lang w:val="en-US" w:eastAsia="zh-CN"/>
              </w:rPr>
              <w:t>参选</w:t>
            </w:r>
            <w:r>
              <w:rPr>
                <w:rFonts w:hint="eastAsia" w:ascii="宋体" w:hAnsi="宋体" w:eastAsia="宋体" w:cs="宋体"/>
                <w:kern w:val="0"/>
                <w:sz w:val="20"/>
                <w:szCs w:val="20"/>
                <w:highlight w:val="none"/>
              </w:rPr>
              <w:t>总报价（元）</w:t>
            </w:r>
          </w:p>
        </w:tc>
        <w:tc>
          <w:tcPr>
            <w:tcW w:w="3417" w:type="dxa"/>
            <w:tcBorders>
              <w:top w:val="single" w:color="auto" w:sz="4" w:space="0"/>
              <w:left w:val="nil"/>
              <w:bottom w:val="single" w:color="auto" w:sz="4" w:space="0"/>
              <w:right w:val="single" w:color="auto" w:sz="4" w:space="0"/>
            </w:tcBorders>
            <w:shd w:val="clear" w:color="000000" w:fill="FFFFFF"/>
            <w:vAlign w:val="center"/>
          </w:tcPr>
          <w:p w14:paraId="2252AAEC">
            <w:pPr>
              <w:widowControl/>
              <w:spacing w:line="240" w:lineRule="auto"/>
              <w:jc w:val="center"/>
              <w:rPr>
                <w:rFonts w:ascii="宋体" w:hAnsi="宋体" w:eastAsia="宋体" w:cs="宋体"/>
                <w:kern w:val="0"/>
                <w:sz w:val="20"/>
                <w:szCs w:val="20"/>
                <w:highlight w:val="none"/>
              </w:rPr>
            </w:pPr>
            <w:r>
              <w:rPr>
                <w:rFonts w:hint="eastAsia" w:ascii="宋体" w:hAnsi="宋体" w:eastAsia="宋体" w:cs="宋体"/>
                <w:kern w:val="0"/>
                <w:sz w:val="20"/>
                <w:szCs w:val="20"/>
                <w:highlight w:val="none"/>
              </w:rPr>
              <w:t>备注</w:t>
            </w:r>
          </w:p>
        </w:tc>
      </w:tr>
      <w:tr w14:paraId="2A6F29DE">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1DE53683">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1860" w:type="dxa"/>
            <w:tcBorders>
              <w:top w:val="nil"/>
              <w:left w:val="nil"/>
              <w:bottom w:val="single" w:color="auto" w:sz="4" w:space="0"/>
              <w:right w:val="single" w:color="auto" w:sz="4" w:space="0"/>
            </w:tcBorders>
            <w:shd w:val="clear" w:color="auto" w:fill="auto"/>
            <w:noWrap/>
            <w:vAlign w:val="center"/>
          </w:tcPr>
          <w:p w14:paraId="3828323F">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蝶阀</w:t>
            </w:r>
          </w:p>
        </w:tc>
        <w:tc>
          <w:tcPr>
            <w:tcW w:w="2440" w:type="dxa"/>
            <w:tcBorders>
              <w:top w:val="nil"/>
              <w:left w:val="nil"/>
              <w:bottom w:val="single" w:color="auto" w:sz="4" w:space="0"/>
              <w:right w:val="single" w:color="auto" w:sz="4" w:space="0"/>
            </w:tcBorders>
            <w:shd w:val="clear" w:color="auto" w:fill="auto"/>
            <w:vAlign w:val="center"/>
          </w:tcPr>
          <w:p w14:paraId="73CB704F">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Dd942X-10,DN=2800</w:t>
            </w:r>
          </w:p>
        </w:tc>
        <w:tc>
          <w:tcPr>
            <w:tcW w:w="1080" w:type="dxa"/>
            <w:tcBorders>
              <w:top w:val="nil"/>
              <w:left w:val="nil"/>
              <w:bottom w:val="single" w:color="auto" w:sz="4" w:space="0"/>
              <w:right w:val="single" w:color="auto" w:sz="4" w:space="0"/>
            </w:tcBorders>
            <w:shd w:val="clear" w:color="auto" w:fill="auto"/>
            <w:noWrap/>
            <w:vAlign w:val="center"/>
          </w:tcPr>
          <w:p w14:paraId="0C3817DC">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15E59D03">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19</w:t>
            </w:r>
          </w:p>
        </w:tc>
        <w:tc>
          <w:tcPr>
            <w:tcW w:w="1143" w:type="dxa"/>
            <w:tcBorders>
              <w:top w:val="nil"/>
              <w:left w:val="nil"/>
              <w:bottom w:val="single" w:color="auto" w:sz="4" w:space="0"/>
              <w:right w:val="single" w:color="auto" w:sz="4" w:space="0"/>
            </w:tcBorders>
            <w:shd w:val="clear" w:color="000000" w:fill="FFFFFF"/>
            <w:noWrap/>
            <w:vAlign w:val="center"/>
          </w:tcPr>
          <w:p w14:paraId="10F656C6">
            <w:pPr>
              <w:widowControl/>
              <w:spacing w:line="240" w:lineRule="auto"/>
              <w:jc w:val="center"/>
              <w:rPr>
                <w:rFonts w:ascii="宋体" w:hAnsi="宋体" w:eastAsia="宋体" w:cs="宋体"/>
                <w:color w:val="000000"/>
                <w:kern w:val="0"/>
                <w:sz w:val="20"/>
                <w:szCs w:val="20"/>
                <w:highlight w:val="none"/>
              </w:rPr>
            </w:pPr>
          </w:p>
        </w:tc>
        <w:tc>
          <w:tcPr>
            <w:tcW w:w="1477" w:type="dxa"/>
            <w:vMerge w:val="restart"/>
            <w:tcBorders>
              <w:top w:val="nil"/>
              <w:left w:val="single" w:color="auto" w:sz="4" w:space="0"/>
              <w:bottom w:val="single" w:color="auto" w:sz="4" w:space="0"/>
              <w:right w:val="single" w:color="auto" w:sz="4" w:space="0"/>
            </w:tcBorders>
            <w:shd w:val="clear" w:color="auto" w:fill="auto"/>
            <w:noWrap/>
            <w:vAlign w:val="center"/>
          </w:tcPr>
          <w:p w14:paraId="3A241465">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22700000 </w:t>
            </w:r>
          </w:p>
        </w:tc>
        <w:tc>
          <w:tcPr>
            <w:tcW w:w="1327" w:type="dxa"/>
            <w:vMerge w:val="restart"/>
            <w:tcBorders>
              <w:top w:val="nil"/>
              <w:left w:val="single" w:color="auto" w:sz="4" w:space="0"/>
              <w:bottom w:val="single" w:color="auto" w:sz="4" w:space="0"/>
              <w:right w:val="single" w:color="auto" w:sz="4" w:space="0"/>
            </w:tcBorders>
            <w:shd w:val="clear" w:color="auto" w:fill="auto"/>
            <w:noWrap/>
            <w:vAlign w:val="center"/>
          </w:tcPr>
          <w:p w14:paraId="7911893D">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w:t>
            </w:r>
          </w:p>
        </w:tc>
        <w:tc>
          <w:tcPr>
            <w:tcW w:w="3417" w:type="dxa"/>
            <w:vMerge w:val="restart"/>
            <w:tcBorders>
              <w:top w:val="nil"/>
              <w:left w:val="single" w:color="auto" w:sz="4" w:space="0"/>
              <w:bottom w:val="single" w:color="000000" w:sz="4" w:space="0"/>
              <w:right w:val="single" w:color="auto" w:sz="4" w:space="0"/>
            </w:tcBorders>
            <w:shd w:val="clear" w:color="auto" w:fill="auto"/>
            <w:vAlign w:val="center"/>
          </w:tcPr>
          <w:p w14:paraId="24A2D89A">
            <w:pPr>
              <w:widowControl/>
              <w:spacing w:line="240" w:lineRule="auto"/>
              <w:jc w:val="lef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1、所有阀门类报价需包含法兰、螺栓、螺母、垫片的报价；</w:t>
            </w:r>
          </w:p>
          <w:p w14:paraId="625B67B7">
            <w:pPr>
              <w:widowControl/>
              <w:spacing w:line="240" w:lineRule="auto"/>
              <w:jc w:val="lef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2、设备的交货地点为</w:t>
            </w:r>
            <w:r>
              <w:rPr>
                <w:rFonts w:hint="eastAsia" w:ascii="宋体" w:hAnsi="宋体" w:eastAsia="宋体" w:cs="宋体"/>
                <w:color w:val="000000"/>
                <w:kern w:val="0"/>
                <w:sz w:val="20"/>
                <w:szCs w:val="20"/>
                <w:highlight w:val="none"/>
                <w:lang w:val="en-US" w:eastAsia="zh-CN"/>
              </w:rPr>
              <w:t>招选</w:t>
            </w:r>
            <w:r>
              <w:rPr>
                <w:rFonts w:hint="eastAsia" w:ascii="宋体" w:hAnsi="宋体" w:eastAsia="宋体" w:cs="宋体"/>
                <w:color w:val="000000"/>
                <w:kern w:val="0"/>
                <w:sz w:val="20"/>
                <w:szCs w:val="20"/>
                <w:highlight w:val="none"/>
              </w:rPr>
              <w:t>人指定场所，即以汽车运至指定场所（含卸车）。</w:t>
            </w:r>
          </w:p>
          <w:p w14:paraId="3149A182">
            <w:pPr>
              <w:widowControl/>
              <w:spacing w:line="240" w:lineRule="auto"/>
              <w:jc w:val="lef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3、所有螺丝、螺母、螺栓、螺杆和有关管件的螺纹应使用GB或ISO标准。</w:t>
            </w:r>
          </w:p>
          <w:p w14:paraId="5D40041C">
            <w:pPr>
              <w:widowControl/>
              <w:spacing w:line="240" w:lineRule="auto"/>
              <w:jc w:val="lef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4、蝶阀为双法兰连接、双偏心软密封结构，采用电手动操作，立式（或卧式）安装（以施工图为准）。</w:t>
            </w:r>
          </w:p>
          <w:p w14:paraId="7E571CCA">
            <w:pPr>
              <w:widowControl/>
              <w:spacing w:line="240" w:lineRule="auto"/>
              <w:jc w:val="lef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5、电动执行机构均采用国际知名原装进口品牌，采用罗托克(ROTORK)、乔登（JORDAN）、瑞典RC（REMOTE CONTROL）品牌的产品，电动执行机构与齿轮箱必须同一品牌，并提供授权书和原产地证明。</w:t>
            </w:r>
          </w:p>
          <w:p w14:paraId="7F396E87">
            <w:pPr>
              <w:widowControl/>
              <w:spacing w:line="240" w:lineRule="auto"/>
              <w:jc w:val="left"/>
              <w:rPr>
                <w:rFonts w:hint="default"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6.我方</w:t>
            </w:r>
            <w:r>
              <w:rPr>
                <w:rFonts w:hint="eastAsia" w:ascii="宋体" w:hAnsi="宋体" w:eastAsia="宋体" w:cs="宋体"/>
                <w:color w:val="000000"/>
                <w:kern w:val="0"/>
                <w:sz w:val="20"/>
                <w:szCs w:val="20"/>
                <w:highlight w:val="none"/>
              </w:rPr>
              <w:t>与</w:t>
            </w:r>
            <w:r>
              <w:rPr>
                <w:rFonts w:hint="eastAsia" w:ascii="宋体" w:hAnsi="宋体" w:eastAsia="宋体" w:cs="宋体"/>
                <w:color w:val="000000"/>
                <w:kern w:val="0"/>
                <w:sz w:val="20"/>
                <w:szCs w:val="20"/>
                <w:highlight w:val="none"/>
                <w:lang w:val="en-US" w:eastAsia="zh-CN"/>
              </w:rPr>
              <w:t>贵方</w:t>
            </w:r>
            <w:r>
              <w:rPr>
                <w:rFonts w:hint="eastAsia" w:ascii="宋体" w:hAnsi="宋体" w:eastAsia="宋体" w:cs="宋体"/>
                <w:color w:val="000000"/>
                <w:kern w:val="0"/>
                <w:sz w:val="20"/>
                <w:szCs w:val="20"/>
                <w:highlight w:val="none"/>
              </w:rPr>
              <w:t>签订本项目框架协议，</w:t>
            </w:r>
            <w:r>
              <w:rPr>
                <w:rFonts w:hint="eastAsia" w:ascii="宋体" w:hAnsi="宋体" w:eastAsia="宋体" w:cs="宋体"/>
                <w:color w:val="000000"/>
                <w:kern w:val="0"/>
                <w:sz w:val="20"/>
                <w:szCs w:val="20"/>
                <w:highlight w:val="none"/>
                <w:lang w:val="en-US" w:eastAsia="zh-CN"/>
              </w:rPr>
              <w:t>并同意</w:t>
            </w:r>
            <w:r>
              <w:rPr>
                <w:rFonts w:hint="eastAsia" w:ascii="宋体" w:hAnsi="宋体" w:eastAsia="宋体" w:cs="宋体"/>
                <w:color w:val="000000"/>
                <w:kern w:val="0"/>
                <w:sz w:val="20"/>
                <w:szCs w:val="20"/>
                <w:highlight w:val="none"/>
              </w:rPr>
              <w:t>后续</w:t>
            </w:r>
            <w:r>
              <w:rPr>
                <w:rFonts w:hint="eastAsia" w:ascii="宋体" w:hAnsi="宋体" w:eastAsia="宋体" w:cs="宋体"/>
                <w:color w:val="000000"/>
                <w:kern w:val="0"/>
                <w:sz w:val="20"/>
                <w:szCs w:val="20"/>
                <w:highlight w:val="none"/>
                <w:lang w:val="en-US" w:eastAsia="zh-CN"/>
              </w:rPr>
              <w:t>采购</w:t>
            </w:r>
            <w:r>
              <w:rPr>
                <w:rFonts w:hint="eastAsia" w:ascii="宋体" w:hAnsi="宋体" w:eastAsia="宋体" w:cs="宋体"/>
                <w:color w:val="000000"/>
                <w:kern w:val="0"/>
                <w:sz w:val="20"/>
                <w:szCs w:val="20"/>
                <w:highlight w:val="none"/>
              </w:rPr>
              <w:t>由</w:t>
            </w:r>
            <w:r>
              <w:rPr>
                <w:rFonts w:hint="eastAsia" w:ascii="宋体" w:hAnsi="宋体" w:eastAsia="宋体" w:cs="宋体"/>
                <w:color w:val="000000"/>
                <w:kern w:val="0"/>
                <w:sz w:val="20"/>
                <w:szCs w:val="20"/>
                <w:highlight w:val="none"/>
                <w:lang w:val="en-US" w:eastAsia="zh-CN"/>
              </w:rPr>
              <w:t>福建水投</w:t>
            </w:r>
            <w:r>
              <w:rPr>
                <w:rFonts w:hint="eastAsia" w:ascii="宋体" w:hAnsi="宋体" w:eastAsia="宋体" w:cs="宋体"/>
                <w:color w:val="000000"/>
                <w:kern w:val="0"/>
                <w:sz w:val="20"/>
                <w:szCs w:val="20"/>
                <w:highlight w:val="none"/>
              </w:rPr>
              <w:t>供应链</w:t>
            </w:r>
            <w:r>
              <w:rPr>
                <w:rFonts w:hint="eastAsia" w:ascii="宋体" w:hAnsi="宋体" w:eastAsia="宋体" w:cs="宋体"/>
                <w:color w:val="000000"/>
                <w:kern w:val="0"/>
                <w:sz w:val="20"/>
                <w:szCs w:val="20"/>
                <w:highlight w:val="none"/>
                <w:lang w:val="en-US" w:eastAsia="zh-CN"/>
              </w:rPr>
              <w:t>公司</w:t>
            </w:r>
            <w:r>
              <w:rPr>
                <w:rFonts w:hint="eastAsia" w:ascii="宋体" w:hAnsi="宋体" w:eastAsia="宋体" w:cs="宋体"/>
                <w:color w:val="000000"/>
                <w:kern w:val="0"/>
                <w:sz w:val="20"/>
                <w:szCs w:val="20"/>
                <w:highlight w:val="none"/>
              </w:rPr>
              <w:t>作为实施主体，与</w:t>
            </w:r>
            <w:r>
              <w:rPr>
                <w:rFonts w:hint="eastAsia" w:ascii="宋体" w:hAnsi="宋体" w:eastAsia="宋体" w:cs="宋体"/>
                <w:color w:val="000000"/>
                <w:kern w:val="0"/>
                <w:sz w:val="20"/>
                <w:szCs w:val="20"/>
                <w:highlight w:val="none"/>
                <w:lang w:val="en-US" w:eastAsia="zh-CN"/>
              </w:rPr>
              <w:t>我方</w:t>
            </w:r>
            <w:r>
              <w:rPr>
                <w:rFonts w:hint="eastAsia" w:ascii="宋体" w:hAnsi="宋体" w:eastAsia="宋体" w:cs="宋体"/>
                <w:color w:val="000000"/>
                <w:kern w:val="0"/>
                <w:sz w:val="20"/>
                <w:szCs w:val="20"/>
                <w:highlight w:val="none"/>
              </w:rPr>
              <w:t>签订供货合同，全权负责本项目供货调配、订单下发、对账结算等全部采购落地工作</w:t>
            </w:r>
            <w:r>
              <w:rPr>
                <w:rFonts w:hint="eastAsia" w:ascii="宋体" w:hAnsi="宋体" w:eastAsia="宋体" w:cs="宋体"/>
                <w:color w:val="000000"/>
                <w:kern w:val="0"/>
                <w:sz w:val="20"/>
                <w:szCs w:val="20"/>
                <w:highlight w:val="none"/>
                <w:lang w:eastAsia="zh-CN"/>
              </w:rPr>
              <w:t>。</w:t>
            </w:r>
            <w:r>
              <w:rPr>
                <w:rFonts w:hint="eastAsia" w:ascii="宋体" w:hAnsi="宋体" w:eastAsia="宋体" w:cs="宋体"/>
                <w:color w:val="000000"/>
                <w:kern w:val="0"/>
                <w:sz w:val="20"/>
                <w:szCs w:val="20"/>
                <w:highlight w:val="none"/>
              </w:rPr>
              <w:t>供货合同所有技术、价格、履约、验收要求均不得违背框架协议约定</w:t>
            </w:r>
            <w:r>
              <w:rPr>
                <w:rFonts w:hint="eastAsia" w:ascii="宋体" w:hAnsi="宋体" w:eastAsia="宋体" w:cs="宋体"/>
                <w:color w:val="000000"/>
                <w:kern w:val="0"/>
                <w:sz w:val="20"/>
                <w:szCs w:val="20"/>
                <w:highlight w:val="none"/>
                <w:lang w:eastAsia="zh-CN"/>
              </w:rPr>
              <w:t>。</w:t>
            </w:r>
          </w:p>
        </w:tc>
      </w:tr>
      <w:tr w14:paraId="64A9F426">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7E132976">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w:t>
            </w:r>
          </w:p>
        </w:tc>
        <w:tc>
          <w:tcPr>
            <w:tcW w:w="1860" w:type="dxa"/>
            <w:tcBorders>
              <w:top w:val="nil"/>
              <w:left w:val="nil"/>
              <w:bottom w:val="single" w:color="auto" w:sz="4" w:space="0"/>
              <w:right w:val="single" w:color="auto" w:sz="4" w:space="0"/>
            </w:tcBorders>
            <w:shd w:val="clear" w:color="auto" w:fill="auto"/>
            <w:noWrap/>
            <w:vAlign w:val="center"/>
          </w:tcPr>
          <w:p w14:paraId="4A610534">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蝶阀</w:t>
            </w:r>
          </w:p>
        </w:tc>
        <w:tc>
          <w:tcPr>
            <w:tcW w:w="2440" w:type="dxa"/>
            <w:tcBorders>
              <w:top w:val="nil"/>
              <w:left w:val="nil"/>
              <w:bottom w:val="single" w:color="auto" w:sz="4" w:space="0"/>
              <w:right w:val="single" w:color="auto" w:sz="4" w:space="0"/>
            </w:tcBorders>
            <w:shd w:val="clear" w:color="auto" w:fill="auto"/>
            <w:vAlign w:val="center"/>
          </w:tcPr>
          <w:p w14:paraId="26913963">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Dd942X-10,DN=1200</w:t>
            </w:r>
          </w:p>
        </w:tc>
        <w:tc>
          <w:tcPr>
            <w:tcW w:w="1080" w:type="dxa"/>
            <w:tcBorders>
              <w:top w:val="nil"/>
              <w:left w:val="nil"/>
              <w:bottom w:val="single" w:color="auto" w:sz="4" w:space="0"/>
              <w:right w:val="single" w:color="auto" w:sz="4" w:space="0"/>
            </w:tcBorders>
            <w:shd w:val="clear" w:color="auto" w:fill="auto"/>
            <w:noWrap/>
            <w:vAlign w:val="center"/>
          </w:tcPr>
          <w:p w14:paraId="2C33BF97">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2DEDDA25">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4</w:t>
            </w:r>
          </w:p>
        </w:tc>
        <w:tc>
          <w:tcPr>
            <w:tcW w:w="1143" w:type="dxa"/>
            <w:tcBorders>
              <w:top w:val="nil"/>
              <w:left w:val="nil"/>
              <w:bottom w:val="single" w:color="auto" w:sz="4" w:space="0"/>
              <w:right w:val="single" w:color="auto" w:sz="4" w:space="0"/>
            </w:tcBorders>
            <w:shd w:val="clear" w:color="000000" w:fill="FFFFFF"/>
            <w:noWrap/>
            <w:vAlign w:val="center"/>
          </w:tcPr>
          <w:p w14:paraId="21106B50">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56FBB51E">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5C9357C2">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21187F27">
            <w:pPr>
              <w:widowControl/>
              <w:spacing w:line="240" w:lineRule="auto"/>
              <w:jc w:val="left"/>
              <w:rPr>
                <w:rFonts w:ascii="宋体" w:hAnsi="宋体" w:eastAsia="宋体" w:cs="宋体"/>
                <w:color w:val="000000"/>
                <w:kern w:val="0"/>
                <w:sz w:val="20"/>
                <w:szCs w:val="20"/>
                <w:highlight w:val="none"/>
              </w:rPr>
            </w:pPr>
          </w:p>
        </w:tc>
      </w:tr>
      <w:tr w14:paraId="7E8BB535">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73654112">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3</w:t>
            </w:r>
          </w:p>
        </w:tc>
        <w:tc>
          <w:tcPr>
            <w:tcW w:w="1860" w:type="dxa"/>
            <w:tcBorders>
              <w:top w:val="nil"/>
              <w:left w:val="nil"/>
              <w:bottom w:val="single" w:color="auto" w:sz="4" w:space="0"/>
              <w:right w:val="single" w:color="auto" w:sz="4" w:space="0"/>
            </w:tcBorders>
            <w:shd w:val="clear" w:color="auto" w:fill="auto"/>
            <w:noWrap/>
            <w:vAlign w:val="center"/>
          </w:tcPr>
          <w:p w14:paraId="0A5C823E">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蝶阀</w:t>
            </w:r>
          </w:p>
        </w:tc>
        <w:tc>
          <w:tcPr>
            <w:tcW w:w="2440" w:type="dxa"/>
            <w:tcBorders>
              <w:top w:val="nil"/>
              <w:left w:val="nil"/>
              <w:bottom w:val="single" w:color="auto" w:sz="4" w:space="0"/>
              <w:right w:val="single" w:color="auto" w:sz="4" w:space="0"/>
            </w:tcBorders>
            <w:shd w:val="clear" w:color="auto" w:fill="auto"/>
            <w:vAlign w:val="center"/>
          </w:tcPr>
          <w:p w14:paraId="0BFD81A3">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Dd942X-10,DN=400</w:t>
            </w:r>
          </w:p>
        </w:tc>
        <w:tc>
          <w:tcPr>
            <w:tcW w:w="1080" w:type="dxa"/>
            <w:tcBorders>
              <w:top w:val="nil"/>
              <w:left w:val="nil"/>
              <w:bottom w:val="single" w:color="auto" w:sz="4" w:space="0"/>
              <w:right w:val="single" w:color="auto" w:sz="4" w:space="0"/>
            </w:tcBorders>
            <w:shd w:val="clear" w:color="auto" w:fill="auto"/>
            <w:noWrap/>
            <w:vAlign w:val="center"/>
          </w:tcPr>
          <w:p w14:paraId="39E39220">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48D146F1">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1143" w:type="dxa"/>
            <w:tcBorders>
              <w:top w:val="nil"/>
              <w:left w:val="nil"/>
              <w:bottom w:val="single" w:color="auto" w:sz="4" w:space="0"/>
              <w:right w:val="single" w:color="auto" w:sz="4" w:space="0"/>
            </w:tcBorders>
            <w:shd w:val="clear" w:color="000000" w:fill="FFFFFF"/>
            <w:noWrap/>
            <w:vAlign w:val="center"/>
          </w:tcPr>
          <w:p w14:paraId="35D35249">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411C1D4E">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30D6A950">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41721672">
            <w:pPr>
              <w:widowControl/>
              <w:spacing w:line="240" w:lineRule="auto"/>
              <w:jc w:val="left"/>
              <w:rPr>
                <w:rFonts w:ascii="宋体" w:hAnsi="宋体" w:eastAsia="宋体" w:cs="宋体"/>
                <w:color w:val="000000"/>
                <w:kern w:val="0"/>
                <w:sz w:val="20"/>
                <w:szCs w:val="20"/>
                <w:highlight w:val="none"/>
              </w:rPr>
            </w:pPr>
          </w:p>
        </w:tc>
      </w:tr>
      <w:tr w14:paraId="0B69C781">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05048E9E">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4</w:t>
            </w:r>
          </w:p>
        </w:tc>
        <w:tc>
          <w:tcPr>
            <w:tcW w:w="1860" w:type="dxa"/>
            <w:tcBorders>
              <w:top w:val="nil"/>
              <w:left w:val="nil"/>
              <w:bottom w:val="single" w:color="auto" w:sz="4" w:space="0"/>
              <w:right w:val="single" w:color="auto" w:sz="4" w:space="0"/>
            </w:tcBorders>
            <w:shd w:val="clear" w:color="auto" w:fill="auto"/>
            <w:noWrap/>
            <w:vAlign w:val="center"/>
          </w:tcPr>
          <w:p w14:paraId="69BEBEC1">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闸阀</w:t>
            </w:r>
          </w:p>
        </w:tc>
        <w:tc>
          <w:tcPr>
            <w:tcW w:w="2440" w:type="dxa"/>
            <w:tcBorders>
              <w:top w:val="nil"/>
              <w:left w:val="nil"/>
              <w:bottom w:val="single" w:color="auto" w:sz="4" w:space="0"/>
              <w:right w:val="single" w:color="auto" w:sz="4" w:space="0"/>
            </w:tcBorders>
            <w:shd w:val="clear" w:color="auto" w:fill="auto"/>
            <w:vAlign w:val="center"/>
          </w:tcPr>
          <w:p w14:paraId="4A55BFF3">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Z45X-10,DN=150</w:t>
            </w:r>
          </w:p>
        </w:tc>
        <w:tc>
          <w:tcPr>
            <w:tcW w:w="1080" w:type="dxa"/>
            <w:tcBorders>
              <w:top w:val="nil"/>
              <w:left w:val="nil"/>
              <w:bottom w:val="single" w:color="auto" w:sz="4" w:space="0"/>
              <w:right w:val="single" w:color="auto" w:sz="4" w:space="0"/>
            </w:tcBorders>
            <w:shd w:val="clear" w:color="auto" w:fill="auto"/>
            <w:noWrap/>
            <w:vAlign w:val="center"/>
          </w:tcPr>
          <w:p w14:paraId="14EDF3DD">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644DF4DD">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19</w:t>
            </w:r>
          </w:p>
        </w:tc>
        <w:tc>
          <w:tcPr>
            <w:tcW w:w="1143" w:type="dxa"/>
            <w:tcBorders>
              <w:top w:val="nil"/>
              <w:left w:val="nil"/>
              <w:bottom w:val="single" w:color="auto" w:sz="4" w:space="0"/>
              <w:right w:val="single" w:color="auto" w:sz="4" w:space="0"/>
            </w:tcBorders>
            <w:shd w:val="clear" w:color="000000" w:fill="FFFFFF"/>
            <w:noWrap/>
            <w:vAlign w:val="center"/>
          </w:tcPr>
          <w:p w14:paraId="3E377315">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65B015F2">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7FD891E3">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7E350F8F">
            <w:pPr>
              <w:widowControl/>
              <w:spacing w:line="240" w:lineRule="auto"/>
              <w:jc w:val="left"/>
              <w:rPr>
                <w:rFonts w:ascii="宋体" w:hAnsi="宋体" w:eastAsia="宋体" w:cs="宋体"/>
                <w:color w:val="000000"/>
                <w:kern w:val="0"/>
                <w:sz w:val="20"/>
                <w:szCs w:val="20"/>
                <w:highlight w:val="none"/>
              </w:rPr>
            </w:pPr>
          </w:p>
        </w:tc>
      </w:tr>
      <w:tr w14:paraId="24DA1811">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7DCFC2F1">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5</w:t>
            </w:r>
          </w:p>
        </w:tc>
        <w:tc>
          <w:tcPr>
            <w:tcW w:w="1860" w:type="dxa"/>
            <w:tcBorders>
              <w:top w:val="nil"/>
              <w:left w:val="nil"/>
              <w:bottom w:val="single" w:color="auto" w:sz="4" w:space="0"/>
              <w:right w:val="single" w:color="auto" w:sz="4" w:space="0"/>
            </w:tcBorders>
            <w:shd w:val="clear" w:color="auto" w:fill="auto"/>
            <w:noWrap/>
            <w:vAlign w:val="center"/>
          </w:tcPr>
          <w:p w14:paraId="71A831DF">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闸阀</w:t>
            </w:r>
          </w:p>
        </w:tc>
        <w:tc>
          <w:tcPr>
            <w:tcW w:w="2440" w:type="dxa"/>
            <w:tcBorders>
              <w:top w:val="nil"/>
              <w:left w:val="nil"/>
              <w:bottom w:val="single" w:color="auto" w:sz="4" w:space="0"/>
              <w:right w:val="single" w:color="auto" w:sz="4" w:space="0"/>
            </w:tcBorders>
            <w:shd w:val="clear" w:color="auto" w:fill="auto"/>
            <w:vAlign w:val="center"/>
          </w:tcPr>
          <w:p w14:paraId="06ECF5EE">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Z45X-10,DN=200</w:t>
            </w:r>
          </w:p>
        </w:tc>
        <w:tc>
          <w:tcPr>
            <w:tcW w:w="1080" w:type="dxa"/>
            <w:tcBorders>
              <w:top w:val="nil"/>
              <w:left w:val="nil"/>
              <w:bottom w:val="single" w:color="auto" w:sz="4" w:space="0"/>
              <w:right w:val="single" w:color="auto" w:sz="4" w:space="0"/>
            </w:tcBorders>
            <w:shd w:val="clear" w:color="auto" w:fill="auto"/>
            <w:noWrap/>
            <w:vAlign w:val="center"/>
          </w:tcPr>
          <w:p w14:paraId="58C5C477">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65DB8B2F">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147</w:t>
            </w:r>
          </w:p>
        </w:tc>
        <w:tc>
          <w:tcPr>
            <w:tcW w:w="1143" w:type="dxa"/>
            <w:tcBorders>
              <w:top w:val="nil"/>
              <w:left w:val="nil"/>
              <w:bottom w:val="single" w:color="auto" w:sz="4" w:space="0"/>
              <w:right w:val="single" w:color="auto" w:sz="4" w:space="0"/>
            </w:tcBorders>
            <w:shd w:val="clear" w:color="000000" w:fill="FFFFFF"/>
            <w:noWrap/>
            <w:vAlign w:val="center"/>
          </w:tcPr>
          <w:p w14:paraId="65CB943F">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5234C8F5">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0A87EBC9">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22783F81">
            <w:pPr>
              <w:widowControl/>
              <w:spacing w:line="240" w:lineRule="auto"/>
              <w:jc w:val="left"/>
              <w:rPr>
                <w:rFonts w:ascii="宋体" w:hAnsi="宋体" w:eastAsia="宋体" w:cs="宋体"/>
                <w:color w:val="000000"/>
                <w:kern w:val="0"/>
                <w:sz w:val="20"/>
                <w:szCs w:val="20"/>
                <w:highlight w:val="none"/>
              </w:rPr>
            </w:pPr>
          </w:p>
        </w:tc>
      </w:tr>
      <w:tr w14:paraId="6C3C29FD">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7516ACB9">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6</w:t>
            </w:r>
          </w:p>
        </w:tc>
        <w:tc>
          <w:tcPr>
            <w:tcW w:w="1860" w:type="dxa"/>
            <w:tcBorders>
              <w:top w:val="nil"/>
              <w:left w:val="nil"/>
              <w:bottom w:val="single" w:color="auto" w:sz="4" w:space="0"/>
              <w:right w:val="single" w:color="auto" w:sz="4" w:space="0"/>
            </w:tcBorders>
            <w:shd w:val="clear" w:color="auto" w:fill="auto"/>
            <w:noWrap/>
            <w:vAlign w:val="center"/>
          </w:tcPr>
          <w:p w14:paraId="2C24B542">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闸阀</w:t>
            </w:r>
          </w:p>
        </w:tc>
        <w:tc>
          <w:tcPr>
            <w:tcW w:w="2440" w:type="dxa"/>
            <w:tcBorders>
              <w:top w:val="nil"/>
              <w:left w:val="nil"/>
              <w:bottom w:val="single" w:color="auto" w:sz="4" w:space="0"/>
              <w:right w:val="single" w:color="auto" w:sz="4" w:space="0"/>
            </w:tcBorders>
            <w:shd w:val="clear" w:color="auto" w:fill="auto"/>
            <w:vAlign w:val="center"/>
          </w:tcPr>
          <w:p w14:paraId="22EB28D6">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Z45X-10,DN=300</w:t>
            </w:r>
          </w:p>
        </w:tc>
        <w:tc>
          <w:tcPr>
            <w:tcW w:w="1080" w:type="dxa"/>
            <w:tcBorders>
              <w:top w:val="nil"/>
              <w:left w:val="nil"/>
              <w:bottom w:val="single" w:color="auto" w:sz="4" w:space="0"/>
              <w:right w:val="single" w:color="auto" w:sz="4" w:space="0"/>
            </w:tcBorders>
            <w:shd w:val="clear" w:color="auto" w:fill="auto"/>
            <w:noWrap/>
            <w:vAlign w:val="center"/>
          </w:tcPr>
          <w:p w14:paraId="63AADB2E">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4E974511">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w:t>
            </w:r>
          </w:p>
        </w:tc>
        <w:tc>
          <w:tcPr>
            <w:tcW w:w="1143" w:type="dxa"/>
            <w:tcBorders>
              <w:top w:val="nil"/>
              <w:left w:val="nil"/>
              <w:bottom w:val="single" w:color="auto" w:sz="4" w:space="0"/>
              <w:right w:val="single" w:color="auto" w:sz="4" w:space="0"/>
            </w:tcBorders>
            <w:shd w:val="clear" w:color="000000" w:fill="FFFFFF"/>
            <w:noWrap/>
            <w:vAlign w:val="center"/>
          </w:tcPr>
          <w:p w14:paraId="0018C73C">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5F92AA47">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628A037C">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2E2A8E4C">
            <w:pPr>
              <w:widowControl/>
              <w:spacing w:line="240" w:lineRule="auto"/>
              <w:jc w:val="left"/>
              <w:rPr>
                <w:rFonts w:ascii="宋体" w:hAnsi="宋体" w:eastAsia="宋体" w:cs="宋体"/>
                <w:color w:val="000000"/>
                <w:kern w:val="0"/>
                <w:sz w:val="20"/>
                <w:szCs w:val="20"/>
                <w:highlight w:val="none"/>
              </w:rPr>
            </w:pPr>
          </w:p>
        </w:tc>
      </w:tr>
      <w:tr w14:paraId="68D6F7DD">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31F2A87B">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7</w:t>
            </w:r>
          </w:p>
        </w:tc>
        <w:tc>
          <w:tcPr>
            <w:tcW w:w="1860" w:type="dxa"/>
            <w:tcBorders>
              <w:top w:val="nil"/>
              <w:left w:val="nil"/>
              <w:bottom w:val="single" w:color="auto" w:sz="4" w:space="0"/>
              <w:right w:val="single" w:color="auto" w:sz="4" w:space="0"/>
            </w:tcBorders>
            <w:shd w:val="clear" w:color="auto" w:fill="auto"/>
            <w:noWrap/>
            <w:vAlign w:val="center"/>
          </w:tcPr>
          <w:p w14:paraId="2CB3E994">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偏心半球阀</w:t>
            </w:r>
          </w:p>
        </w:tc>
        <w:tc>
          <w:tcPr>
            <w:tcW w:w="2440" w:type="dxa"/>
            <w:tcBorders>
              <w:top w:val="nil"/>
              <w:left w:val="nil"/>
              <w:bottom w:val="single" w:color="auto" w:sz="4" w:space="0"/>
              <w:right w:val="single" w:color="auto" w:sz="4" w:space="0"/>
            </w:tcBorders>
            <w:shd w:val="clear" w:color="auto" w:fill="auto"/>
            <w:vAlign w:val="center"/>
          </w:tcPr>
          <w:p w14:paraId="5C697EA7">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DN=600,PN=1.0MPa</w:t>
            </w:r>
          </w:p>
        </w:tc>
        <w:tc>
          <w:tcPr>
            <w:tcW w:w="1080" w:type="dxa"/>
            <w:tcBorders>
              <w:top w:val="nil"/>
              <w:left w:val="nil"/>
              <w:bottom w:val="single" w:color="auto" w:sz="4" w:space="0"/>
              <w:right w:val="single" w:color="auto" w:sz="4" w:space="0"/>
            </w:tcBorders>
            <w:shd w:val="clear" w:color="auto" w:fill="auto"/>
            <w:noWrap/>
            <w:vAlign w:val="center"/>
          </w:tcPr>
          <w:p w14:paraId="2BEF8183">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308C803B">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27</w:t>
            </w:r>
          </w:p>
        </w:tc>
        <w:tc>
          <w:tcPr>
            <w:tcW w:w="1143" w:type="dxa"/>
            <w:tcBorders>
              <w:top w:val="nil"/>
              <w:left w:val="nil"/>
              <w:bottom w:val="single" w:color="auto" w:sz="4" w:space="0"/>
              <w:right w:val="single" w:color="auto" w:sz="4" w:space="0"/>
            </w:tcBorders>
            <w:shd w:val="clear" w:color="000000" w:fill="FFFFFF"/>
            <w:noWrap/>
            <w:vAlign w:val="center"/>
          </w:tcPr>
          <w:p w14:paraId="192CD12A">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2C96E4C4">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26426014">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76A84FA9">
            <w:pPr>
              <w:widowControl/>
              <w:spacing w:line="240" w:lineRule="auto"/>
              <w:jc w:val="left"/>
              <w:rPr>
                <w:rFonts w:ascii="宋体" w:hAnsi="宋体" w:eastAsia="宋体" w:cs="宋体"/>
                <w:color w:val="000000"/>
                <w:kern w:val="0"/>
                <w:sz w:val="20"/>
                <w:szCs w:val="20"/>
                <w:highlight w:val="none"/>
              </w:rPr>
            </w:pPr>
          </w:p>
        </w:tc>
      </w:tr>
      <w:tr w14:paraId="24B658DE">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0D4D66EB">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8</w:t>
            </w:r>
          </w:p>
        </w:tc>
        <w:tc>
          <w:tcPr>
            <w:tcW w:w="1860" w:type="dxa"/>
            <w:tcBorders>
              <w:top w:val="nil"/>
              <w:left w:val="nil"/>
              <w:bottom w:val="single" w:color="auto" w:sz="4" w:space="0"/>
              <w:right w:val="single" w:color="auto" w:sz="4" w:space="0"/>
            </w:tcBorders>
            <w:shd w:val="clear" w:color="auto" w:fill="auto"/>
            <w:noWrap/>
            <w:vAlign w:val="center"/>
          </w:tcPr>
          <w:p w14:paraId="4BC2D989">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偏心半球阀</w:t>
            </w:r>
          </w:p>
        </w:tc>
        <w:tc>
          <w:tcPr>
            <w:tcW w:w="2440" w:type="dxa"/>
            <w:tcBorders>
              <w:top w:val="nil"/>
              <w:left w:val="nil"/>
              <w:bottom w:val="single" w:color="auto" w:sz="4" w:space="0"/>
              <w:right w:val="single" w:color="auto" w:sz="4" w:space="0"/>
            </w:tcBorders>
            <w:shd w:val="clear" w:color="auto" w:fill="auto"/>
            <w:vAlign w:val="center"/>
          </w:tcPr>
          <w:p w14:paraId="2F1227D3">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DN=400，PN=0.6MPa</w:t>
            </w:r>
          </w:p>
        </w:tc>
        <w:tc>
          <w:tcPr>
            <w:tcW w:w="1080" w:type="dxa"/>
            <w:tcBorders>
              <w:top w:val="nil"/>
              <w:left w:val="nil"/>
              <w:bottom w:val="single" w:color="auto" w:sz="4" w:space="0"/>
              <w:right w:val="single" w:color="auto" w:sz="4" w:space="0"/>
            </w:tcBorders>
            <w:shd w:val="clear" w:color="auto" w:fill="auto"/>
            <w:noWrap/>
            <w:vAlign w:val="center"/>
          </w:tcPr>
          <w:p w14:paraId="14FAE9EF">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0DE2DDA8">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10</w:t>
            </w:r>
          </w:p>
        </w:tc>
        <w:tc>
          <w:tcPr>
            <w:tcW w:w="1143" w:type="dxa"/>
            <w:tcBorders>
              <w:top w:val="nil"/>
              <w:left w:val="nil"/>
              <w:bottom w:val="single" w:color="auto" w:sz="4" w:space="0"/>
              <w:right w:val="single" w:color="auto" w:sz="4" w:space="0"/>
            </w:tcBorders>
            <w:shd w:val="clear" w:color="000000" w:fill="FFFFFF"/>
            <w:noWrap/>
            <w:vAlign w:val="center"/>
          </w:tcPr>
          <w:p w14:paraId="11B33220">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46047CFB">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117087D2">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4DC4C1F1">
            <w:pPr>
              <w:widowControl/>
              <w:spacing w:line="240" w:lineRule="auto"/>
              <w:jc w:val="left"/>
              <w:rPr>
                <w:rFonts w:ascii="宋体" w:hAnsi="宋体" w:eastAsia="宋体" w:cs="宋体"/>
                <w:color w:val="000000"/>
                <w:kern w:val="0"/>
                <w:sz w:val="20"/>
                <w:szCs w:val="20"/>
                <w:highlight w:val="none"/>
              </w:rPr>
            </w:pPr>
          </w:p>
        </w:tc>
      </w:tr>
      <w:tr w14:paraId="333E2C16">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01DFE805">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9</w:t>
            </w:r>
          </w:p>
        </w:tc>
        <w:tc>
          <w:tcPr>
            <w:tcW w:w="1860" w:type="dxa"/>
            <w:tcBorders>
              <w:top w:val="nil"/>
              <w:left w:val="nil"/>
              <w:bottom w:val="single" w:color="auto" w:sz="4" w:space="0"/>
              <w:right w:val="single" w:color="auto" w:sz="4" w:space="0"/>
            </w:tcBorders>
            <w:shd w:val="clear" w:color="auto" w:fill="auto"/>
            <w:noWrap/>
            <w:vAlign w:val="center"/>
          </w:tcPr>
          <w:p w14:paraId="18F03217">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偏心半球阀</w:t>
            </w:r>
          </w:p>
        </w:tc>
        <w:tc>
          <w:tcPr>
            <w:tcW w:w="2440" w:type="dxa"/>
            <w:tcBorders>
              <w:top w:val="nil"/>
              <w:left w:val="nil"/>
              <w:bottom w:val="single" w:color="auto" w:sz="4" w:space="0"/>
              <w:right w:val="single" w:color="auto" w:sz="4" w:space="0"/>
            </w:tcBorders>
            <w:shd w:val="clear" w:color="auto" w:fill="auto"/>
            <w:vAlign w:val="center"/>
          </w:tcPr>
          <w:p w14:paraId="032C8886">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DN=600,PN=0.6MPa</w:t>
            </w:r>
          </w:p>
        </w:tc>
        <w:tc>
          <w:tcPr>
            <w:tcW w:w="1080" w:type="dxa"/>
            <w:tcBorders>
              <w:top w:val="nil"/>
              <w:left w:val="nil"/>
              <w:bottom w:val="single" w:color="auto" w:sz="4" w:space="0"/>
              <w:right w:val="single" w:color="auto" w:sz="4" w:space="0"/>
            </w:tcBorders>
            <w:shd w:val="clear" w:color="auto" w:fill="auto"/>
            <w:noWrap/>
            <w:vAlign w:val="center"/>
          </w:tcPr>
          <w:p w14:paraId="4DE27BB9">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16FF463F">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1143" w:type="dxa"/>
            <w:tcBorders>
              <w:top w:val="nil"/>
              <w:left w:val="nil"/>
              <w:bottom w:val="single" w:color="auto" w:sz="4" w:space="0"/>
              <w:right w:val="single" w:color="auto" w:sz="4" w:space="0"/>
            </w:tcBorders>
            <w:shd w:val="clear" w:color="000000" w:fill="FFFFFF"/>
            <w:noWrap/>
            <w:vAlign w:val="center"/>
          </w:tcPr>
          <w:p w14:paraId="003CCDC1">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14FD9E58">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7DC557D8">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61942DAD">
            <w:pPr>
              <w:widowControl/>
              <w:spacing w:line="240" w:lineRule="auto"/>
              <w:jc w:val="left"/>
              <w:rPr>
                <w:rFonts w:ascii="宋体" w:hAnsi="宋体" w:eastAsia="宋体" w:cs="宋体"/>
                <w:color w:val="000000"/>
                <w:kern w:val="0"/>
                <w:sz w:val="20"/>
                <w:szCs w:val="20"/>
                <w:highlight w:val="none"/>
              </w:rPr>
            </w:pPr>
          </w:p>
        </w:tc>
      </w:tr>
      <w:tr w14:paraId="2E004E05">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1C473DF1">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10</w:t>
            </w:r>
          </w:p>
        </w:tc>
        <w:tc>
          <w:tcPr>
            <w:tcW w:w="1860" w:type="dxa"/>
            <w:tcBorders>
              <w:top w:val="nil"/>
              <w:left w:val="nil"/>
              <w:bottom w:val="single" w:color="auto" w:sz="4" w:space="0"/>
              <w:right w:val="single" w:color="auto" w:sz="4" w:space="0"/>
            </w:tcBorders>
            <w:shd w:val="clear" w:color="auto" w:fill="auto"/>
            <w:noWrap/>
            <w:vAlign w:val="center"/>
          </w:tcPr>
          <w:p w14:paraId="5365BC1D">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排水（泥）阀 </w:t>
            </w:r>
          </w:p>
        </w:tc>
        <w:tc>
          <w:tcPr>
            <w:tcW w:w="2440" w:type="dxa"/>
            <w:tcBorders>
              <w:top w:val="nil"/>
              <w:left w:val="nil"/>
              <w:bottom w:val="single" w:color="auto" w:sz="4" w:space="0"/>
              <w:right w:val="single" w:color="auto" w:sz="4" w:space="0"/>
            </w:tcBorders>
            <w:shd w:val="clear" w:color="auto" w:fill="auto"/>
            <w:vAlign w:val="center"/>
          </w:tcPr>
          <w:p w14:paraId="292BC6CD">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DN=600,PN=1.0MPa</w:t>
            </w:r>
          </w:p>
        </w:tc>
        <w:tc>
          <w:tcPr>
            <w:tcW w:w="1080" w:type="dxa"/>
            <w:tcBorders>
              <w:top w:val="nil"/>
              <w:left w:val="nil"/>
              <w:bottom w:val="single" w:color="auto" w:sz="4" w:space="0"/>
              <w:right w:val="single" w:color="auto" w:sz="4" w:space="0"/>
            </w:tcBorders>
            <w:shd w:val="clear" w:color="auto" w:fill="auto"/>
            <w:noWrap/>
            <w:vAlign w:val="center"/>
          </w:tcPr>
          <w:p w14:paraId="2B21CF78">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3D80552F">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10</w:t>
            </w:r>
          </w:p>
        </w:tc>
        <w:tc>
          <w:tcPr>
            <w:tcW w:w="1143" w:type="dxa"/>
            <w:tcBorders>
              <w:top w:val="nil"/>
              <w:left w:val="nil"/>
              <w:bottom w:val="single" w:color="auto" w:sz="4" w:space="0"/>
              <w:right w:val="single" w:color="auto" w:sz="4" w:space="0"/>
            </w:tcBorders>
            <w:shd w:val="clear" w:color="000000" w:fill="FFFFFF"/>
            <w:noWrap/>
            <w:vAlign w:val="center"/>
          </w:tcPr>
          <w:p w14:paraId="1F210D42">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43211B8C">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599F9CEB">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0215B549">
            <w:pPr>
              <w:widowControl/>
              <w:spacing w:line="240" w:lineRule="auto"/>
              <w:jc w:val="left"/>
              <w:rPr>
                <w:rFonts w:ascii="宋体" w:hAnsi="宋体" w:eastAsia="宋体" w:cs="宋体"/>
                <w:color w:val="000000"/>
                <w:kern w:val="0"/>
                <w:sz w:val="20"/>
                <w:szCs w:val="20"/>
                <w:highlight w:val="none"/>
              </w:rPr>
            </w:pPr>
          </w:p>
        </w:tc>
      </w:tr>
      <w:tr w14:paraId="7946D3B3">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594605F9">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11</w:t>
            </w:r>
          </w:p>
        </w:tc>
        <w:tc>
          <w:tcPr>
            <w:tcW w:w="1860" w:type="dxa"/>
            <w:tcBorders>
              <w:top w:val="nil"/>
              <w:left w:val="nil"/>
              <w:bottom w:val="single" w:color="auto" w:sz="4" w:space="0"/>
              <w:right w:val="single" w:color="auto" w:sz="4" w:space="0"/>
            </w:tcBorders>
            <w:shd w:val="clear" w:color="auto" w:fill="auto"/>
            <w:noWrap/>
            <w:vAlign w:val="center"/>
          </w:tcPr>
          <w:p w14:paraId="6BA61500">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复合式排气阀</w:t>
            </w:r>
          </w:p>
        </w:tc>
        <w:tc>
          <w:tcPr>
            <w:tcW w:w="2440" w:type="dxa"/>
            <w:tcBorders>
              <w:top w:val="nil"/>
              <w:left w:val="nil"/>
              <w:bottom w:val="single" w:color="auto" w:sz="4" w:space="0"/>
              <w:right w:val="single" w:color="auto" w:sz="4" w:space="0"/>
            </w:tcBorders>
            <w:shd w:val="clear" w:color="auto" w:fill="auto"/>
            <w:vAlign w:val="center"/>
          </w:tcPr>
          <w:p w14:paraId="08D17AED">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DN=200,PN=1.0MPa</w:t>
            </w:r>
          </w:p>
        </w:tc>
        <w:tc>
          <w:tcPr>
            <w:tcW w:w="1080" w:type="dxa"/>
            <w:tcBorders>
              <w:top w:val="nil"/>
              <w:left w:val="nil"/>
              <w:bottom w:val="single" w:color="auto" w:sz="4" w:space="0"/>
              <w:right w:val="single" w:color="auto" w:sz="4" w:space="0"/>
            </w:tcBorders>
            <w:shd w:val="clear" w:color="auto" w:fill="auto"/>
            <w:noWrap/>
            <w:vAlign w:val="center"/>
          </w:tcPr>
          <w:p w14:paraId="3250032A">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5066E39C">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147</w:t>
            </w:r>
          </w:p>
        </w:tc>
        <w:tc>
          <w:tcPr>
            <w:tcW w:w="1143" w:type="dxa"/>
            <w:tcBorders>
              <w:top w:val="nil"/>
              <w:left w:val="nil"/>
              <w:bottom w:val="single" w:color="auto" w:sz="4" w:space="0"/>
              <w:right w:val="single" w:color="auto" w:sz="4" w:space="0"/>
            </w:tcBorders>
            <w:shd w:val="clear" w:color="000000" w:fill="FFFFFF"/>
            <w:noWrap/>
            <w:vAlign w:val="center"/>
          </w:tcPr>
          <w:p w14:paraId="3BC7BC8D">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0C29D9C1">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0EC40879">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4BFBBEC0">
            <w:pPr>
              <w:widowControl/>
              <w:spacing w:line="240" w:lineRule="auto"/>
              <w:jc w:val="left"/>
              <w:rPr>
                <w:rFonts w:ascii="宋体" w:hAnsi="宋体" w:eastAsia="宋体" w:cs="宋体"/>
                <w:color w:val="000000"/>
                <w:kern w:val="0"/>
                <w:sz w:val="20"/>
                <w:szCs w:val="20"/>
                <w:highlight w:val="none"/>
              </w:rPr>
            </w:pPr>
          </w:p>
        </w:tc>
      </w:tr>
      <w:tr w14:paraId="723D6E3A">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275609FE">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12</w:t>
            </w:r>
          </w:p>
        </w:tc>
        <w:tc>
          <w:tcPr>
            <w:tcW w:w="1860" w:type="dxa"/>
            <w:tcBorders>
              <w:top w:val="nil"/>
              <w:left w:val="nil"/>
              <w:bottom w:val="single" w:color="auto" w:sz="4" w:space="0"/>
              <w:right w:val="single" w:color="auto" w:sz="4" w:space="0"/>
            </w:tcBorders>
            <w:shd w:val="clear" w:color="auto" w:fill="auto"/>
            <w:noWrap/>
            <w:vAlign w:val="center"/>
          </w:tcPr>
          <w:p w14:paraId="29E988FE">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复合式排气阀</w:t>
            </w:r>
          </w:p>
        </w:tc>
        <w:tc>
          <w:tcPr>
            <w:tcW w:w="2440" w:type="dxa"/>
            <w:tcBorders>
              <w:top w:val="nil"/>
              <w:left w:val="nil"/>
              <w:bottom w:val="single" w:color="auto" w:sz="4" w:space="0"/>
              <w:right w:val="single" w:color="auto" w:sz="4" w:space="0"/>
            </w:tcBorders>
            <w:shd w:val="clear" w:color="auto" w:fill="auto"/>
            <w:vAlign w:val="center"/>
          </w:tcPr>
          <w:p w14:paraId="4D1B7D1D">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DN=300,PN=1.0MPa</w:t>
            </w:r>
          </w:p>
        </w:tc>
        <w:tc>
          <w:tcPr>
            <w:tcW w:w="1080" w:type="dxa"/>
            <w:tcBorders>
              <w:top w:val="nil"/>
              <w:left w:val="nil"/>
              <w:bottom w:val="single" w:color="auto" w:sz="4" w:space="0"/>
              <w:right w:val="single" w:color="auto" w:sz="4" w:space="0"/>
            </w:tcBorders>
            <w:shd w:val="clear" w:color="auto" w:fill="auto"/>
            <w:noWrap/>
            <w:vAlign w:val="center"/>
          </w:tcPr>
          <w:p w14:paraId="72520ECF">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441D9F0A">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4</w:t>
            </w:r>
          </w:p>
        </w:tc>
        <w:tc>
          <w:tcPr>
            <w:tcW w:w="1143" w:type="dxa"/>
            <w:tcBorders>
              <w:top w:val="nil"/>
              <w:left w:val="nil"/>
              <w:bottom w:val="single" w:color="auto" w:sz="4" w:space="0"/>
              <w:right w:val="single" w:color="auto" w:sz="4" w:space="0"/>
            </w:tcBorders>
            <w:shd w:val="clear" w:color="000000" w:fill="FFFFFF"/>
            <w:noWrap/>
            <w:vAlign w:val="center"/>
          </w:tcPr>
          <w:p w14:paraId="3E2F2D11">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163B9A06">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31B3216F">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4EE8B3CC">
            <w:pPr>
              <w:widowControl/>
              <w:spacing w:line="240" w:lineRule="auto"/>
              <w:jc w:val="left"/>
              <w:rPr>
                <w:rFonts w:ascii="宋体" w:hAnsi="宋体" w:eastAsia="宋体" w:cs="宋体"/>
                <w:color w:val="000000"/>
                <w:kern w:val="0"/>
                <w:sz w:val="20"/>
                <w:szCs w:val="20"/>
                <w:highlight w:val="none"/>
              </w:rPr>
            </w:pPr>
          </w:p>
        </w:tc>
      </w:tr>
      <w:tr w14:paraId="664C7315">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2C0AEA86">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13</w:t>
            </w:r>
          </w:p>
        </w:tc>
        <w:tc>
          <w:tcPr>
            <w:tcW w:w="1860" w:type="dxa"/>
            <w:tcBorders>
              <w:top w:val="nil"/>
              <w:left w:val="nil"/>
              <w:bottom w:val="single" w:color="auto" w:sz="4" w:space="0"/>
              <w:right w:val="single" w:color="auto" w:sz="4" w:space="0"/>
            </w:tcBorders>
            <w:shd w:val="clear" w:color="auto" w:fill="auto"/>
            <w:noWrap/>
            <w:vAlign w:val="center"/>
          </w:tcPr>
          <w:p w14:paraId="5719253E">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复合式排气阀</w:t>
            </w:r>
          </w:p>
        </w:tc>
        <w:tc>
          <w:tcPr>
            <w:tcW w:w="2440" w:type="dxa"/>
            <w:tcBorders>
              <w:top w:val="nil"/>
              <w:left w:val="nil"/>
              <w:bottom w:val="single" w:color="auto" w:sz="4" w:space="0"/>
              <w:right w:val="single" w:color="auto" w:sz="4" w:space="0"/>
            </w:tcBorders>
            <w:shd w:val="clear" w:color="auto" w:fill="auto"/>
            <w:vAlign w:val="center"/>
          </w:tcPr>
          <w:p w14:paraId="2DCFBE1F">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DN=150,PN=1.0MPa</w:t>
            </w:r>
          </w:p>
        </w:tc>
        <w:tc>
          <w:tcPr>
            <w:tcW w:w="1080" w:type="dxa"/>
            <w:tcBorders>
              <w:top w:val="nil"/>
              <w:left w:val="nil"/>
              <w:bottom w:val="single" w:color="auto" w:sz="4" w:space="0"/>
              <w:right w:val="single" w:color="auto" w:sz="4" w:space="0"/>
            </w:tcBorders>
            <w:shd w:val="clear" w:color="auto" w:fill="auto"/>
            <w:noWrap/>
            <w:vAlign w:val="center"/>
          </w:tcPr>
          <w:p w14:paraId="4D05FF3F">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10ECD202">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18</w:t>
            </w:r>
          </w:p>
        </w:tc>
        <w:tc>
          <w:tcPr>
            <w:tcW w:w="1143" w:type="dxa"/>
            <w:tcBorders>
              <w:top w:val="nil"/>
              <w:left w:val="nil"/>
              <w:bottom w:val="single" w:color="auto" w:sz="4" w:space="0"/>
              <w:right w:val="single" w:color="auto" w:sz="4" w:space="0"/>
            </w:tcBorders>
            <w:shd w:val="clear" w:color="000000" w:fill="FFFFFF"/>
            <w:noWrap/>
            <w:vAlign w:val="center"/>
          </w:tcPr>
          <w:p w14:paraId="1F20C042">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69269025">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7FCEB4B3">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37A1D11D">
            <w:pPr>
              <w:widowControl/>
              <w:spacing w:line="240" w:lineRule="auto"/>
              <w:jc w:val="left"/>
              <w:rPr>
                <w:rFonts w:ascii="宋体" w:hAnsi="宋体" w:eastAsia="宋体" w:cs="宋体"/>
                <w:color w:val="000000"/>
                <w:kern w:val="0"/>
                <w:sz w:val="20"/>
                <w:szCs w:val="20"/>
                <w:highlight w:val="none"/>
              </w:rPr>
            </w:pPr>
          </w:p>
        </w:tc>
      </w:tr>
      <w:tr w14:paraId="6A4F87F1">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31059D82">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14</w:t>
            </w:r>
          </w:p>
        </w:tc>
        <w:tc>
          <w:tcPr>
            <w:tcW w:w="1860" w:type="dxa"/>
            <w:tcBorders>
              <w:top w:val="nil"/>
              <w:left w:val="nil"/>
              <w:bottom w:val="single" w:color="auto" w:sz="4" w:space="0"/>
              <w:right w:val="single" w:color="auto" w:sz="4" w:space="0"/>
            </w:tcBorders>
            <w:shd w:val="clear" w:color="auto" w:fill="auto"/>
            <w:noWrap/>
            <w:vAlign w:val="center"/>
          </w:tcPr>
          <w:p w14:paraId="25B6B72E">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伸缩节</w:t>
            </w:r>
          </w:p>
        </w:tc>
        <w:tc>
          <w:tcPr>
            <w:tcW w:w="2440" w:type="dxa"/>
            <w:tcBorders>
              <w:top w:val="nil"/>
              <w:left w:val="nil"/>
              <w:bottom w:val="single" w:color="auto" w:sz="4" w:space="0"/>
              <w:right w:val="single" w:color="auto" w:sz="4" w:space="0"/>
            </w:tcBorders>
            <w:shd w:val="clear" w:color="auto" w:fill="auto"/>
            <w:vAlign w:val="center"/>
          </w:tcPr>
          <w:p w14:paraId="0CFE1FE4">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C2F-10,DN=2800</w:t>
            </w:r>
          </w:p>
        </w:tc>
        <w:tc>
          <w:tcPr>
            <w:tcW w:w="1080" w:type="dxa"/>
            <w:tcBorders>
              <w:top w:val="nil"/>
              <w:left w:val="nil"/>
              <w:bottom w:val="single" w:color="auto" w:sz="4" w:space="0"/>
              <w:right w:val="single" w:color="auto" w:sz="4" w:space="0"/>
            </w:tcBorders>
            <w:shd w:val="clear" w:color="auto" w:fill="auto"/>
            <w:noWrap/>
            <w:vAlign w:val="center"/>
          </w:tcPr>
          <w:p w14:paraId="2C3B3DF6">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048B9CF5">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34</w:t>
            </w:r>
          </w:p>
        </w:tc>
        <w:tc>
          <w:tcPr>
            <w:tcW w:w="1143" w:type="dxa"/>
            <w:tcBorders>
              <w:top w:val="nil"/>
              <w:left w:val="nil"/>
              <w:bottom w:val="single" w:color="auto" w:sz="4" w:space="0"/>
              <w:right w:val="single" w:color="auto" w:sz="4" w:space="0"/>
            </w:tcBorders>
            <w:shd w:val="clear" w:color="000000" w:fill="FFFFFF"/>
            <w:noWrap/>
            <w:vAlign w:val="center"/>
          </w:tcPr>
          <w:p w14:paraId="2E257524">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3E2AAF1E">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6FF0A7D9">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0D7178C9">
            <w:pPr>
              <w:widowControl/>
              <w:spacing w:line="240" w:lineRule="auto"/>
              <w:jc w:val="left"/>
              <w:rPr>
                <w:rFonts w:ascii="宋体" w:hAnsi="宋体" w:eastAsia="宋体" w:cs="宋体"/>
                <w:color w:val="000000"/>
                <w:kern w:val="0"/>
                <w:sz w:val="20"/>
                <w:szCs w:val="20"/>
                <w:highlight w:val="none"/>
              </w:rPr>
            </w:pPr>
          </w:p>
        </w:tc>
      </w:tr>
      <w:tr w14:paraId="410626A9">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35031744">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15</w:t>
            </w:r>
          </w:p>
        </w:tc>
        <w:tc>
          <w:tcPr>
            <w:tcW w:w="1860" w:type="dxa"/>
            <w:tcBorders>
              <w:top w:val="nil"/>
              <w:left w:val="nil"/>
              <w:bottom w:val="single" w:color="auto" w:sz="4" w:space="0"/>
              <w:right w:val="single" w:color="auto" w:sz="4" w:space="0"/>
            </w:tcBorders>
            <w:shd w:val="clear" w:color="auto" w:fill="auto"/>
            <w:noWrap/>
            <w:vAlign w:val="center"/>
          </w:tcPr>
          <w:p w14:paraId="28568D25">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伸缩节</w:t>
            </w:r>
          </w:p>
        </w:tc>
        <w:tc>
          <w:tcPr>
            <w:tcW w:w="2440" w:type="dxa"/>
            <w:tcBorders>
              <w:top w:val="nil"/>
              <w:left w:val="nil"/>
              <w:bottom w:val="single" w:color="auto" w:sz="4" w:space="0"/>
              <w:right w:val="single" w:color="auto" w:sz="4" w:space="0"/>
            </w:tcBorders>
            <w:shd w:val="clear" w:color="auto" w:fill="auto"/>
            <w:vAlign w:val="center"/>
          </w:tcPr>
          <w:p w14:paraId="23877754">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C2F-10,DN=1200</w:t>
            </w:r>
          </w:p>
        </w:tc>
        <w:tc>
          <w:tcPr>
            <w:tcW w:w="1080" w:type="dxa"/>
            <w:tcBorders>
              <w:top w:val="nil"/>
              <w:left w:val="nil"/>
              <w:bottom w:val="single" w:color="auto" w:sz="4" w:space="0"/>
              <w:right w:val="single" w:color="auto" w:sz="4" w:space="0"/>
            </w:tcBorders>
            <w:shd w:val="clear" w:color="auto" w:fill="auto"/>
            <w:noWrap/>
            <w:vAlign w:val="center"/>
          </w:tcPr>
          <w:p w14:paraId="1607BFEF">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579C84A6">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4</w:t>
            </w:r>
          </w:p>
        </w:tc>
        <w:tc>
          <w:tcPr>
            <w:tcW w:w="1143" w:type="dxa"/>
            <w:tcBorders>
              <w:top w:val="nil"/>
              <w:left w:val="nil"/>
              <w:bottom w:val="single" w:color="auto" w:sz="4" w:space="0"/>
              <w:right w:val="single" w:color="auto" w:sz="4" w:space="0"/>
            </w:tcBorders>
            <w:shd w:val="clear" w:color="000000" w:fill="FFFFFF"/>
            <w:noWrap/>
            <w:vAlign w:val="center"/>
          </w:tcPr>
          <w:p w14:paraId="00A41CE0">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0B77097B">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4CC93DCA">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0D32B1ED">
            <w:pPr>
              <w:widowControl/>
              <w:spacing w:line="240" w:lineRule="auto"/>
              <w:jc w:val="left"/>
              <w:rPr>
                <w:rFonts w:ascii="宋体" w:hAnsi="宋体" w:eastAsia="宋体" w:cs="宋体"/>
                <w:color w:val="000000"/>
                <w:kern w:val="0"/>
                <w:sz w:val="20"/>
                <w:szCs w:val="20"/>
                <w:highlight w:val="none"/>
              </w:rPr>
            </w:pPr>
          </w:p>
        </w:tc>
      </w:tr>
      <w:tr w14:paraId="6AC96B31">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7568DD3F">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16</w:t>
            </w:r>
          </w:p>
        </w:tc>
        <w:tc>
          <w:tcPr>
            <w:tcW w:w="1860" w:type="dxa"/>
            <w:tcBorders>
              <w:top w:val="nil"/>
              <w:left w:val="nil"/>
              <w:bottom w:val="single" w:color="auto" w:sz="4" w:space="0"/>
              <w:right w:val="single" w:color="auto" w:sz="4" w:space="0"/>
            </w:tcBorders>
            <w:shd w:val="clear" w:color="auto" w:fill="auto"/>
            <w:noWrap/>
            <w:vAlign w:val="center"/>
          </w:tcPr>
          <w:p w14:paraId="127597B7">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伸缩节</w:t>
            </w:r>
          </w:p>
        </w:tc>
        <w:tc>
          <w:tcPr>
            <w:tcW w:w="2440" w:type="dxa"/>
            <w:tcBorders>
              <w:top w:val="nil"/>
              <w:left w:val="nil"/>
              <w:bottom w:val="single" w:color="auto" w:sz="4" w:space="0"/>
              <w:right w:val="single" w:color="auto" w:sz="4" w:space="0"/>
            </w:tcBorders>
            <w:shd w:val="clear" w:color="auto" w:fill="auto"/>
            <w:vAlign w:val="center"/>
          </w:tcPr>
          <w:p w14:paraId="413E455A">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C2F-10,DN=600</w:t>
            </w:r>
          </w:p>
        </w:tc>
        <w:tc>
          <w:tcPr>
            <w:tcW w:w="1080" w:type="dxa"/>
            <w:tcBorders>
              <w:top w:val="nil"/>
              <w:left w:val="nil"/>
              <w:bottom w:val="single" w:color="auto" w:sz="4" w:space="0"/>
              <w:right w:val="single" w:color="auto" w:sz="4" w:space="0"/>
            </w:tcBorders>
            <w:shd w:val="clear" w:color="auto" w:fill="auto"/>
            <w:noWrap/>
            <w:vAlign w:val="center"/>
          </w:tcPr>
          <w:p w14:paraId="547AE493">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50DF170F">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36</w:t>
            </w:r>
          </w:p>
        </w:tc>
        <w:tc>
          <w:tcPr>
            <w:tcW w:w="1143" w:type="dxa"/>
            <w:tcBorders>
              <w:top w:val="nil"/>
              <w:left w:val="nil"/>
              <w:bottom w:val="single" w:color="auto" w:sz="4" w:space="0"/>
              <w:right w:val="single" w:color="auto" w:sz="4" w:space="0"/>
            </w:tcBorders>
            <w:shd w:val="clear" w:color="000000" w:fill="FFFFFF"/>
            <w:noWrap/>
            <w:vAlign w:val="center"/>
          </w:tcPr>
          <w:p w14:paraId="7B48F28A">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6C4E4F09">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2BC2525C">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0109198E">
            <w:pPr>
              <w:widowControl/>
              <w:spacing w:line="240" w:lineRule="auto"/>
              <w:jc w:val="left"/>
              <w:rPr>
                <w:rFonts w:ascii="宋体" w:hAnsi="宋体" w:eastAsia="宋体" w:cs="宋体"/>
                <w:color w:val="000000"/>
                <w:kern w:val="0"/>
                <w:sz w:val="20"/>
                <w:szCs w:val="20"/>
                <w:highlight w:val="none"/>
              </w:rPr>
            </w:pPr>
          </w:p>
        </w:tc>
      </w:tr>
      <w:tr w14:paraId="64FFDA9E">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35FB4E0C">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17</w:t>
            </w:r>
          </w:p>
        </w:tc>
        <w:tc>
          <w:tcPr>
            <w:tcW w:w="1860" w:type="dxa"/>
            <w:tcBorders>
              <w:top w:val="nil"/>
              <w:left w:val="nil"/>
              <w:bottom w:val="single" w:color="auto" w:sz="4" w:space="0"/>
              <w:right w:val="single" w:color="auto" w:sz="4" w:space="0"/>
            </w:tcBorders>
            <w:shd w:val="clear" w:color="auto" w:fill="auto"/>
            <w:noWrap/>
            <w:vAlign w:val="center"/>
          </w:tcPr>
          <w:p w14:paraId="66C4191F">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伸缩节</w:t>
            </w:r>
          </w:p>
        </w:tc>
        <w:tc>
          <w:tcPr>
            <w:tcW w:w="2440" w:type="dxa"/>
            <w:tcBorders>
              <w:top w:val="nil"/>
              <w:left w:val="nil"/>
              <w:bottom w:val="single" w:color="auto" w:sz="4" w:space="0"/>
              <w:right w:val="single" w:color="auto" w:sz="4" w:space="0"/>
            </w:tcBorders>
            <w:shd w:val="clear" w:color="auto" w:fill="auto"/>
            <w:vAlign w:val="center"/>
          </w:tcPr>
          <w:p w14:paraId="0AB34E38">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C2F-6,DN=600</w:t>
            </w:r>
          </w:p>
        </w:tc>
        <w:tc>
          <w:tcPr>
            <w:tcW w:w="1080" w:type="dxa"/>
            <w:tcBorders>
              <w:top w:val="nil"/>
              <w:left w:val="nil"/>
              <w:bottom w:val="single" w:color="auto" w:sz="4" w:space="0"/>
              <w:right w:val="single" w:color="auto" w:sz="4" w:space="0"/>
            </w:tcBorders>
            <w:shd w:val="clear" w:color="auto" w:fill="auto"/>
            <w:noWrap/>
            <w:vAlign w:val="center"/>
          </w:tcPr>
          <w:p w14:paraId="75207089">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229D0B21">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w:t>
            </w:r>
          </w:p>
        </w:tc>
        <w:tc>
          <w:tcPr>
            <w:tcW w:w="1143" w:type="dxa"/>
            <w:tcBorders>
              <w:top w:val="nil"/>
              <w:left w:val="nil"/>
              <w:bottom w:val="single" w:color="auto" w:sz="4" w:space="0"/>
              <w:right w:val="single" w:color="auto" w:sz="4" w:space="0"/>
            </w:tcBorders>
            <w:shd w:val="clear" w:color="000000" w:fill="FFFFFF"/>
            <w:noWrap/>
            <w:vAlign w:val="center"/>
          </w:tcPr>
          <w:p w14:paraId="69A58B0A">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0720EF1A">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44CABC06">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01023E5B">
            <w:pPr>
              <w:widowControl/>
              <w:spacing w:line="240" w:lineRule="auto"/>
              <w:jc w:val="left"/>
              <w:rPr>
                <w:rFonts w:ascii="宋体" w:hAnsi="宋体" w:eastAsia="宋体" w:cs="宋体"/>
                <w:color w:val="000000"/>
                <w:kern w:val="0"/>
                <w:sz w:val="20"/>
                <w:szCs w:val="20"/>
                <w:highlight w:val="none"/>
              </w:rPr>
            </w:pPr>
          </w:p>
        </w:tc>
      </w:tr>
      <w:tr w14:paraId="35068F78">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3730EBCE">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18</w:t>
            </w:r>
          </w:p>
        </w:tc>
        <w:tc>
          <w:tcPr>
            <w:tcW w:w="1860" w:type="dxa"/>
            <w:tcBorders>
              <w:top w:val="nil"/>
              <w:left w:val="nil"/>
              <w:bottom w:val="single" w:color="auto" w:sz="4" w:space="0"/>
              <w:right w:val="single" w:color="auto" w:sz="4" w:space="0"/>
            </w:tcBorders>
            <w:shd w:val="clear" w:color="auto" w:fill="auto"/>
            <w:noWrap/>
            <w:vAlign w:val="center"/>
          </w:tcPr>
          <w:p w14:paraId="5C9748A0">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伸缩节</w:t>
            </w:r>
          </w:p>
        </w:tc>
        <w:tc>
          <w:tcPr>
            <w:tcW w:w="2440" w:type="dxa"/>
            <w:tcBorders>
              <w:top w:val="nil"/>
              <w:left w:val="nil"/>
              <w:bottom w:val="single" w:color="auto" w:sz="4" w:space="0"/>
              <w:right w:val="single" w:color="auto" w:sz="4" w:space="0"/>
            </w:tcBorders>
            <w:shd w:val="clear" w:color="auto" w:fill="auto"/>
            <w:vAlign w:val="center"/>
          </w:tcPr>
          <w:p w14:paraId="479B7BB1">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C2F-10,DN=400</w:t>
            </w:r>
          </w:p>
        </w:tc>
        <w:tc>
          <w:tcPr>
            <w:tcW w:w="1080" w:type="dxa"/>
            <w:tcBorders>
              <w:top w:val="nil"/>
              <w:left w:val="nil"/>
              <w:bottom w:val="single" w:color="auto" w:sz="4" w:space="0"/>
              <w:right w:val="single" w:color="auto" w:sz="4" w:space="0"/>
            </w:tcBorders>
            <w:shd w:val="clear" w:color="auto" w:fill="auto"/>
            <w:noWrap/>
            <w:vAlign w:val="center"/>
          </w:tcPr>
          <w:p w14:paraId="62DAEAD0">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59F281FF">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10</w:t>
            </w:r>
          </w:p>
        </w:tc>
        <w:tc>
          <w:tcPr>
            <w:tcW w:w="1143" w:type="dxa"/>
            <w:tcBorders>
              <w:top w:val="nil"/>
              <w:left w:val="nil"/>
              <w:bottom w:val="single" w:color="auto" w:sz="4" w:space="0"/>
              <w:right w:val="single" w:color="auto" w:sz="4" w:space="0"/>
            </w:tcBorders>
            <w:shd w:val="clear" w:color="000000" w:fill="FFFFFF"/>
            <w:noWrap/>
            <w:vAlign w:val="center"/>
          </w:tcPr>
          <w:p w14:paraId="07A122CD">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67C7EB6A">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62DE2212">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2F441738">
            <w:pPr>
              <w:widowControl/>
              <w:spacing w:line="240" w:lineRule="auto"/>
              <w:jc w:val="left"/>
              <w:rPr>
                <w:rFonts w:ascii="宋体" w:hAnsi="宋体" w:eastAsia="宋体" w:cs="宋体"/>
                <w:color w:val="000000"/>
                <w:kern w:val="0"/>
                <w:sz w:val="20"/>
                <w:szCs w:val="20"/>
                <w:highlight w:val="none"/>
              </w:rPr>
            </w:pPr>
          </w:p>
        </w:tc>
      </w:tr>
      <w:tr w14:paraId="4D9A8E05">
        <w:tblPrEx>
          <w:tblCellMar>
            <w:top w:w="0" w:type="dxa"/>
            <w:left w:w="108" w:type="dxa"/>
            <w:bottom w:w="0" w:type="dxa"/>
            <w:right w:w="108" w:type="dxa"/>
          </w:tblCellMar>
        </w:tblPrEx>
        <w:trPr>
          <w:trHeight w:val="402" w:hRule="atLeast"/>
          <w:jc w:val="center"/>
        </w:trPr>
        <w:tc>
          <w:tcPr>
            <w:tcW w:w="700" w:type="dxa"/>
            <w:tcBorders>
              <w:top w:val="nil"/>
              <w:left w:val="single" w:color="auto" w:sz="4" w:space="0"/>
              <w:bottom w:val="single" w:color="auto" w:sz="4" w:space="0"/>
              <w:right w:val="single" w:color="auto" w:sz="4" w:space="0"/>
            </w:tcBorders>
            <w:shd w:val="clear" w:color="auto" w:fill="auto"/>
            <w:noWrap/>
            <w:vAlign w:val="center"/>
          </w:tcPr>
          <w:p w14:paraId="471C47BD">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19</w:t>
            </w:r>
          </w:p>
        </w:tc>
        <w:tc>
          <w:tcPr>
            <w:tcW w:w="1860" w:type="dxa"/>
            <w:tcBorders>
              <w:top w:val="nil"/>
              <w:left w:val="nil"/>
              <w:bottom w:val="single" w:color="auto" w:sz="4" w:space="0"/>
              <w:right w:val="single" w:color="auto" w:sz="4" w:space="0"/>
            </w:tcBorders>
            <w:shd w:val="clear" w:color="auto" w:fill="auto"/>
            <w:noWrap/>
            <w:vAlign w:val="center"/>
          </w:tcPr>
          <w:p w14:paraId="59119449">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伸缩节</w:t>
            </w:r>
          </w:p>
        </w:tc>
        <w:tc>
          <w:tcPr>
            <w:tcW w:w="2440" w:type="dxa"/>
            <w:tcBorders>
              <w:top w:val="nil"/>
              <w:left w:val="nil"/>
              <w:bottom w:val="single" w:color="auto" w:sz="4" w:space="0"/>
              <w:right w:val="single" w:color="auto" w:sz="4" w:space="0"/>
            </w:tcBorders>
            <w:shd w:val="clear" w:color="auto" w:fill="auto"/>
            <w:vAlign w:val="center"/>
          </w:tcPr>
          <w:p w14:paraId="75E5E90A">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C2F-6,DN=400</w:t>
            </w:r>
          </w:p>
        </w:tc>
        <w:tc>
          <w:tcPr>
            <w:tcW w:w="1080" w:type="dxa"/>
            <w:tcBorders>
              <w:top w:val="nil"/>
              <w:left w:val="nil"/>
              <w:bottom w:val="single" w:color="auto" w:sz="4" w:space="0"/>
              <w:right w:val="single" w:color="auto" w:sz="4" w:space="0"/>
            </w:tcBorders>
            <w:shd w:val="clear" w:color="auto" w:fill="auto"/>
            <w:noWrap/>
            <w:vAlign w:val="center"/>
          </w:tcPr>
          <w:p w14:paraId="4053233E">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个</w:t>
            </w:r>
          </w:p>
        </w:tc>
        <w:tc>
          <w:tcPr>
            <w:tcW w:w="844" w:type="dxa"/>
            <w:tcBorders>
              <w:top w:val="nil"/>
              <w:left w:val="nil"/>
              <w:bottom w:val="single" w:color="auto" w:sz="4" w:space="0"/>
              <w:right w:val="single" w:color="auto" w:sz="4" w:space="0"/>
            </w:tcBorders>
            <w:shd w:val="clear" w:color="auto" w:fill="auto"/>
            <w:noWrap/>
            <w:vAlign w:val="center"/>
          </w:tcPr>
          <w:p w14:paraId="437DF81D">
            <w:pPr>
              <w:widowControl/>
              <w:spacing w:line="240" w:lineRule="auto"/>
              <w:jc w:val="center"/>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1143" w:type="dxa"/>
            <w:tcBorders>
              <w:top w:val="nil"/>
              <w:left w:val="nil"/>
              <w:bottom w:val="single" w:color="auto" w:sz="4" w:space="0"/>
              <w:right w:val="single" w:color="auto" w:sz="4" w:space="0"/>
            </w:tcBorders>
            <w:shd w:val="clear" w:color="000000" w:fill="FFFFFF"/>
            <w:noWrap/>
            <w:vAlign w:val="center"/>
          </w:tcPr>
          <w:p w14:paraId="7644FDE1">
            <w:pPr>
              <w:widowControl/>
              <w:spacing w:line="240" w:lineRule="auto"/>
              <w:jc w:val="center"/>
              <w:rPr>
                <w:rFonts w:ascii="宋体" w:hAnsi="宋体" w:eastAsia="宋体" w:cs="宋体"/>
                <w:color w:val="000000"/>
                <w:kern w:val="0"/>
                <w:sz w:val="20"/>
                <w:szCs w:val="20"/>
                <w:highlight w:val="none"/>
              </w:rPr>
            </w:pPr>
          </w:p>
        </w:tc>
        <w:tc>
          <w:tcPr>
            <w:tcW w:w="1477" w:type="dxa"/>
            <w:vMerge w:val="continue"/>
            <w:tcBorders>
              <w:top w:val="nil"/>
              <w:left w:val="single" w:color="auto" w:sz="4" w:space="0"/>
              <w:bottom w:val="single" w:color="auto" w:sz="4" w:space="0"/>
              <w:right w:val="single" w:color="auto" w:sz="4" w:space="0"/>
            </w:tcBorders>
            <w:vAlign w:val="center"/>
          </w:tcPr>
          <w:p w14:paraId="4BCBD800">
            <w:pPr>
              <w:widowControl/>
              <w:spacing w:line="240" w:lineRule="auto"/>
              <w:jc w:val="left"/>
              <w:rPr>
                <w:rFonts w:ascii="宋体" w:hAnsi="宋体" w:eastAsia="宋体" w:cs="宋体"/>
                <w:color w:val="000000"/>
                <w:kern w:val="0"/>
                <w:sz w:val="20"/>
                <w:szCs w:val="20"/>
                <w:highlight w:val="none"/>
              </w:rPr>
            </w:pPr>
          </w:p>
        </w:tc>
        <w:tc>
          <w:tcPr>
            <w:tcW w:w="1327" w:type="dxa"/>
            <w:vMerge w:val="continue"/>
            <w:tcBorders>
              <w:top w:val="nil"/>
              <w:left w:val="single" w:color="auto" w:sz="4" w:space="0"/>
              <w:bottom w:val="single" w:color="auto" w:sz="4" w:space="0"/>
              <w:right w:val="single" w:color="auto" w:sz="4" w:space="0"/>
            </w:tcBorders>
            <w:vAlign w:val="center"/>
          </w:tcPr>
          <w:p w14:paraId="1255729C">
            <w:pPr>
              <w:widowControl/>
              <w:spacing w:line="240" w:lineRule="auto"/>
              <w:jc w:val="left"/>
              <w:rPr>
                <w:rFonts w:ascii="宋体" w:hAnsi="宋体" w:eastAsia="宋体" w:cs="宋体"/>
                <w:color w:val="000000"/>
                <w:kern w:val="0"/>
                <w:sz w:val="20"/>
                <w:szCs w:val="20"/>
                <w:highlight w:val="none"/>
              </w:rPr>
            </w:pPr>
          </w:p>
        </w:tc>
        <w:tc>
          <w:tcPr>
            <w:tcW w:w="3417" w:type="dxa"/>
            <w:vMerge w:val="continue"/>
            <w:tcBorders>
              <w:top w:val="nil"/>
              <w:left w:val="single" w:color="auto" w:sz="4" w:space="0"/>
              <w:bottom w:val="single" w:color="000000" w:sz="4" w:space="0"/>
              <w:right w:val="single" w:color="auto" w:sz="4" w:space="0"/>
            </w:tcBorders>
            <w:vAlign w:val="center"/>
          </w:tcPr>
          <w:p w14:paraId="7746B3C4">
            <w:pPr>
              <w:widowControl/>
              <w:spacing w:line="240" w:lineRule="auto"/>
              <w:jc w:val="left"/>
              <w:rPr>
                <w:rFonts w:ascii="宋体" w:hAnsi="宋体" w:eastAsia="宋体" w:cs="宋体"/>
                <w:color w:val="000000"/>
                <w:kern w:val="0"/>
                <w:sz w:val="20"/>
                <w:szCs w:val="20"/>
                <w:highlight w:val="none"/>
              </w:rPr>
            </w:pPr>
          </w:p>
        </w:tc>
      </w:tr>
    </w:tbl>
    <w:p w14:paraId="4AD28734">
      <w:pPr>
        <w:pStyle w:val="53"/>
        <w:numPr>
          <w:ilvl w:val="0"/>
          <w:numId w:val="13"/>
        </w:numPr>
        <w:spacing w:line="348" w:lineRule="auto"/>
        <w:ind w:firstLine="420"/>
        <w:rPr>
          <w:rFonts w:hint="eastAsia" w:ascii="宋体" w:hAnsi="宋体" w:cs="宋体"/>
          <w:color w:val="auto"/>
          <w:sz w:val="24"/>
          <w:szCs w:val="24"/>
          <w:highlight w:val="none"/>
        </w:rPr>
      </w:pPr>
      <w:r>
        <w:rPr>
          <w:rFonts w:hint="eastAsia" w:ascii="宋体" w:hAnsi="宋体"/>
          <w:b w:val="0"/>
          <w:bCs/>
          <w:color w:val="auto"/>
          <w:sz w:val="24"/>
          <w:szCs w:val="24"/>
          <w:highlight w:val="none"/>
        </w:rPr>
        <w:t>以上报价</w:t>
      </w:r>
      <w:r>
        <w:rPr>
          <w:rFonts w:hint="eastAsia" w:ascii="宋体" w:hAnsi="宋体"/>
          <w:b w:val="0"/>
          <w:bCs/>
          <w:color w:val="auto"/>
          <w:sz w:val="24"/>
          <w:szCs w:val="24"/>
          <w:highlight w:val="none"/>
          <w:lang w:val="en-US" w:eastAsia="zh-CN"/>
        </w:rPr>
        <w:t>参选</w:t>
      </w:r>
      <w:r>
        <w:rPr>
          <w:rFonts w:hint="eastAsia" w:ascii="宋体" w:hAnsi="宋体"/>
          <w:b w:val="0"/>
          <w:bCs/>
          <w:color w:val="auto"/>
          <w:sz w:val="24"/>
          <w:szCs w:val="24"/>
          <w:highlight w:val="none"/>
        </w:rPr>
        <w:t>人已充分考虑所有风险费用。</w:t>
      </w:r>
      <w:r>
        <w:rPr>
          <w:rFonts w:hint="eastAsia" w:ascii="宋体" w:hAnsi="宋体" w:cs="宋体"/>
          <w:color w:val="auto"/>
          <w:sz w:val="24"/>
          <w:szCs w:val="24"/>
          <w:highlight w:val="none"/>
          <w:lang w:val="en-US" w:eastAsia="zh-CN"/>
        </w:rPr>
        <w:t>参选人所报</w:t>
      </w:r>
      <w:r>
        <w:rPr>
          <w:rFonts w:hint="eastAsia" w:ascii="宋体" w:hAnsi="宋体" w:cs="宋体"/>
          <w:color w:val="auto"/>
          <w:sz w:val="24"/>
          <w:szCs w:val="24"/>
          <w:highlight w:val="none"/>
        </w:rPr>
        <w:t>单价均已包含</w:t>
      </w:r>
      <w:r>
        <w:rPr>
          <w:rFonts w:hint="eastAsia" w:ascii="宋体" w:hAnsi="宋体" w:cs="宋体"/>
          <w:color w:val="auto"/>
          <w:sz w:val="24"/>
          <w:szCs w:val="24"/>
          <w:highlight w:val="none"/>
          <w:lang w:val="en-US" w:eastAsia="zh-CN"/>
        </w:rPr>
        <w:t>参选人完成供货所需</w:t>
      </w:r>
      <w:r>
        <w:rPr>
          <w:rFonts w:hint="eastAsia" w:ascii="宋体" w:hAnsi="宋体" w:cs="宋体"/>
          <w:color w:val="auto"/>
          <w:sz w:val="24"/>
          <w:szCs w:val="24"/>
          <w:highlight w:val="none"/>
        </w:rPr>
        <w:t>的人工费、材料费、运输费、装卸费、设备使用费、利润、税金（1</w:t>
      </w:r>
      <w:r>
        <w:rPr>
          <w:rFonts w:ascii="宋体" w:hAnsi="宋体" w:cs="宋体"/>
          <w:color w:val="auto"/>
          <w:sz w:val="24"/>
          <w:szCs w:val="24"/>
          <w:highlight w:val="none"/>
        </w:rPr>
        <w:t>3</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电动阀配套的电动执行机构装置费等，</w:t>
      </w:r>
      <w:r>
        <w:rPr>
          <w:rFonts w:hint="eastAsia" w:ascii="宋体" w:hAnsi="宋体" w:cs="宋体"/>
          <w:color w:val="auto"/>
          <w:sz w:val="24"/>
          <w:szCs w:val="24"/>
          <w:highlight w:val="none"/>
        </w:rPr>
        <w:t>与供货有关的所有垃圾清运费、临时工程摊销、其他费用摊销等全部费用以及应由</w:t>
      </w:r>
      <w:r>
        <w:rPr>
          <w:rFonts w:hint="eastAsia" w:ascii="宋体" w:hAnsi="宋体" w:cs="宋体"/>
          <w:color w:val="auto"/>
          <w:sz w:val="24"/>
          <w:szCs w:val="24"/>
          <w:highlight w:val="none"/>
          <w:lang w:eastAsia="zh-CN"/>
        </w:rPr>
        <w:t>参选</w:t>
      </w:r>
      <w:r>
        <w:rPr>
          <w:rFonts w:hint="eastAsia" w:ascii="宋体" w:hAnsi="宋体" w:cs="宋体"/>
          <w:color w:val="auto"/>
          <w:sz w:val="24"/>
          <w:szCs w:val="24"/>
          <w:highlight w:val="none"/>
        </w:rPr>
        <w:t>人承担的风险（如运输安全、</w:t>
      </w:r>
      <w:r>
        <w:rPr>
          <w:rFonts w:hint="eastAsia" w:ascii="宋体" w:hAnsi="宋体" w:cs="宋体"/>
          <w:color w:val="auto"/>
          <w:sz w:val="24"/>
          <w:szCs w:val="24"/>
          <w:highlight w:val="none"/>
          <w:lang w:val="en-US" w:eastAsia="zh-CN"/>
        </w:rPr>
        <w:t>配件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材料上涨等）、义务和责任所发生的一切费用。</w:t>
      </w:r>
    </w:p>
    <w:p w14:paraId="5F436EA0">
      <w:pPr>
        <w:pStyle w:val="53"/>
        <w:numPr>
          <w:ilvl w:val="0"/>
          <w:numId w:val="13"/>
        </w:numPr>
        <w:spacing w:line="348" w:lineRule="auto"/>
        <w:ind w:firstLine="420"/>
        <w:rPr>
          <w:rStyle w:val="59"/>
          <w:rFonts w:cs="宋体"/>
          <w:b w:val="0"/>
          <w:sz w:val="24"/>
          <w:szCs w:val="24"/>
          <w:highlight w:val="none"/>
          <w:lang w:bidi="ar"/>
        </w:rPr>
      </w:pPr>
      <w:r>
        <w:rPr>
          <w:rFonts w:ascii="宋体" w:hAnsi="宋体" w:eastAsia="宋体" w:cs="宋体"/>
          <w:sz w:val="24"/>
          <w:szCs w:val="24"/>
          <w:highlight w:val="none"/>
        </w:rPr>
        <w:t>本项目实行单价、总价双</w:t>
      </w:r>
      <w:r>
        <w:rPr>
          <w:rFonts w:hint="eastAsia" w:ascii="宋体" w:hAnsi="宋体" w:eastAsia="宋体" w:cs="宋体"/>
          <w:sz w:val="24"/>
          <w:szCs w:val="24"/>
          <w:highlight w:val="none"/>
          <w:lang w:val="en-US" w:eastAsia="zh-CN"/>
        </w:rPr>
        <w:t>控</w:t>
      </w:r>
      <w:r>
        <w:rPr>
          <w:rFonts w:ascii="宋体" w:hAnsi="宋体" w:eastAsia="宋体" w:cs="宋体"/>
          <w:sz w:val="24"/>
          <w:szCs w:val="24"/>
          <w:highlight w:val="none"/>
        </w:rPr>
        <w:t>，</w:t>
      </w:r>
      <w:r>
        <w:rPr>
          <w:rFonts w:hint="eastAsia" w:ascii="宋体" w:hAnsi="宋体" w:eastAsia="宋体" w:cs="宋体"/>
          <w:sz w:val="24"/>
          <w:szCs w:val="24"/>
          <w:highlight w:val="none"/>
          <w:lang w:val="en-US" w:eastAsia="zh-CN"/>
        </w:rPr>
        <w:t>即参选总报价</w:t>
      </w:r>
      <w:r>
        <w:rPr>
          <w:rFonts w:ascii="宋体" w:hAnsi="宋体" w:eastAsia="宋体" w:cs="宋体"/>
          <w:sz w:val="24"/>
          <w:szCs w:val="24"/>
          <w:highlight w:val="none"/>
        </w:rPr>
        <w:t>不得超过</w:t>
      </w:r>
      <w:r>
        <w:rPr>
          <w:rFonts w:hint="eastAsia" w:ascii="宋体" w:hAnsi="宋体" w:cs="宋体"/>
          <w:sz w:val="24"/>
          <w:szCs w:val="24"/>
          <w:highlight w:val="none"/>
          <w:lang w:val="en-US" w:eastAsia="zh-CN"/>
        </w:rPr>
        <w:t>招选</w:t>
      </w:r>
      <w:r>
        <w:rPr>
          <w:rFonts w:ascii="宋体" w:hAnsi="宋体" w:eastAsia="宋体" w:cs="宋体"/>
          <w:sz w:val="24"/>
          <w:szCs w:val="24"/>
          <w:highlight w:val="none"/>
        </w:rPr>
        <w:t>文件载明的最高控制总价</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且各产品</w:t>
      </w:r>
      <w:r>
        <w:rPr>
          <w:rFonts w:ascii="宋体" w:hAnsi="宋体" w:eastAsia="宋体" w:cs="宋体"/>
          <w:sz w:val="24"/>
          <w:szCs w:val="24"/>
          <w:highlight w:val="none"/>
        </w:rPr>
        <w:t>单价不得超</w:t>
      </w:r>
      <w:r>
        <w:rPr>
          <w:rFonts w:hint="eastAsia" w:ascii="宋体" w:hAnsi="宋体" w:eastAsia="宋体" w:cs="宋体"/>
          <w:sz w:val="24"/>
          <w:szCs w:val="24"/>
          <w:highlight w:val="none"/>
          <w:lang w:val="en-US" w:eastAsia="zh-CN"/>
        </w:rPr>
        <w:t>过</w:t>
      </w:r>
      <w:r>
        <w:rPr>
          <w:rFonts w:ascii="宋体" w:hAnsi="宋体" w:eastAsia="宋体" w:cs="宋体"/>
          <w:sz w:val="24"/>
          <w:szCs w:val="24"/>
          <w:highlight w:val="none"/>
        </w:rPr>
        <w:t>对应</w:t>
      </w:r>
      <w:r>
        <w:rPr>
          <w:rFonts w:hint="eastAsia" w:ascii="宋体" w:hAnsi="宋体" w:eastAsia="宋体" w:cs="宋体"/>
          <w:sz w:val="24"/>
          <w:szCs w:val="24"/>
          <w:highlight w:val="none"/>
          <w:lang w:eastAsia="zh-CN"/>
        </w:rPr>
        <w:t>的</w:t>
      </w:r>
      <w:r>
        <w:rPr>
          <w:rFonts w:ascii="宋体" w:hAnsi="宋体" w:eastAsia="宋体" w:cs="宋体"/>
          <w:sz w:val="24"/>
          <w:szCs w:val="24"/>
          <w:highlight w:val="none"/>
        </w:rPr>
        <w:t>最高</w:t>
      </w:r>
      <w:r>
        <w:rPr>
          <w:rFonts w:hint="eastAsia" w:ascii="宋体" w:hAnsi="宋体" w:eastAsia="宋体" w:cs="宋体"/>
          <w:sz w:val="24"/>
          <w:szCs w:val="24"/>
          <w:highlight w:val="none"/>
          <w:lang w:val="en-US" w:eastAsia="zh-CN"/>
        </w:rPr>
        <w:t>控制单价</w:t>
      </w:r>
      <w:r>
        <w:rPr>
          <w:rFonts w:ascii="宋体" w:hAnsi="宋体" w:eastAsia="宋体" w:cs="宋体"/>
          <w:sz w:val="24"/>
          <w:szCs w:val="24"/>
          <w:highlight w:val="none"/>
        </w:rPr>
        <w:t>，任一单价或总报价超出</w:t>
      </w:r>
      <w:r>
        <w:rPr>
          <w:rFonts w:hint="eastAsia" w:ascii="宋体" w:hAnsi="宋体" w:eastAsia="宋体" w:cs="宋体"/>
          <w:sz w:val="24"/>
          <w:szCs w:val="24"/>
          <w:highlight w:val="none"/>
          <w:lang w:val="en-US" w:eastAsia="zh-CN"/>
        </w:rPr>
        <w:t>最高控制价的，其报价将被</w:t>
      </w:r>
      <w:r>
        <w:rPr>
          <w:rFonts w:ascii="宋体" w:hAnsi="宋体" w:eastAsia="宋体" w:cs="宋体"/>
          <w:sz w:val="24"/>
          <w:szCs w:val="24"/>
          <w:highlight w:val="none"/>
        </w:rPr>
        <w:t>否决。</w:t>
      </w:r>
    </w:p>
    <w:p w14:paraId="0FA4E252">
      <w:pPr>
        <w:pStyle w:val="53"/>
        <w:numPr>
          <w:ilvl w:val="0"/>
          <w:numId w:val="0"/>
        </w:numPr>
        <w:spacing w:line="348" w:lineRule="auto"/>
        <w:ind w:firstLine="480" w:firstLineChars="200"/>
        <w:rPr>
          <w:rStyle w:val="59"/>
          <w:rFonts w:cs="宋体"/>
          <w:b w:val="0"/>
          <w:sz w:val="24"/>
          <w:szCs w:val="24"/>
          <w:highlight w:val="none"/>
          <w:lang w:bidi="ar"/>
        </w:rPr>
      </w:pPr>
      <w:r>
        <w:rPr>
          <w:rStyle w:val="59"/>
          <w:rFonts w:hint="eastAsia" w:cs="宋体"/>
          <w:b w:val="0"/>
          <w:sz w:val="24"/>
          <w:szCs w:val="24"/>
          <w:highlight w:val="none"/>
          <w:lang w:bidi="ar"/>
        </w:rPr>
        <w:t>（</w:t>
      </w:r>
      <w:r>
        <w:rPr>
          <w:rStyle w:val="59"/>
          <w:rFonts w:hint="eastAsia" w:cs="宋体"/>
          <w:b w:val="0"/>
          <w:sz w:val="24"/>
          <w:szCs w:val="24"/>
          <w:highlight w:val="none"/>
          <w:lang w:val="en-US" w:eastAsia="zh-CN" w:bidi="ar"/>
        </w:rPr>
        <w:t>三</w:t>
      </w:r>
      <w:r>
        <w:rPr>
          <w:rStyle w:val="59"/>
          <w:rFonts w:hint="eastAsia" w:cs="宋体"/>
          <w:b w:val="0"/>
          <w:sz w:val="24"/>
          <w:szCs w:val="24"/>
          <w:highlight w:val="none"/>
          <w:lang w:bidi="ar"/>
        </w:rPr>
        <w:t>）其他说明：</w:t>
      </w:r>
    </w:p>
    <w:p w14:paraId="05E9E910">
      <w:pPr>
        <w:pStyle w:val="27"/>
        <w:spacing w:before="0" w:beforeAutospacing="0" w:after="0" w:afterAutospacing="0" w:line="360" w:lineRule="auto"/>
        <w:ind w:firstLine="480" w:firstLineChars="200"/>
        <w:rPr>
          <w:rFonts w:cs="宋体"/>
          <w:b/>
          <w:sz w:val="24"/>
          <w:szCs w:val="24"/>
          <w:highlight w:val="none"/>
        </w:rPr>
      </w:pPr>
      <w:r>
        <w:rPr>
          <w:rStyle w:val="59"/>
          <w:rFonts w:hint="eastAsia" w:cs="宋体"/>
          <w:b w:val="0"/>
          <w:sz w:val="24"/>
          <w:szCs w:val="24"/>
          <w:highlight w:val="none"/>
          <w:lang w:bidi="ar"/>
        </w:rPr>
        <w:t>招</w:t>
      </w:r>
      <w:r>
        <w:rPr>
          <w:rStyle w:val="59"/>
          <w:rFonts w:hint="eastAsia" w:cs="宋体"/>
          <w:b w:val="0"/>
          <w:sz w:val="24"/>
          <w:szCs w:val="24"/>
          <w:highlight w:val="none"/>
          <w:lang w:eastAsia="zh-CN" w:bidi="ar"/>
        </w:rPr>
        <w:t>选</w:t>
      </w:r>
      <w:r>
        <w:rPr>
          <w:rStyle w:val="59"/>
          <w:rFonts w:hint="eastAsia" w:cs="宋体"/>
          <w:b w:val="0"/>
          <w:sz w:val="24"/>
          <w:szCs w:val="24"/>
          <w:highlight w:val="none"/>
          <w:lang w:bidi="ar"/>
        </w:rPr>
        <w:t>文件规定的各相关条款要求，如果</w:t>
      </w:r>
      <w:r>
        <w:rPr>
          <w:rStyle w:val="59"/>
          <w:rFonts w:hint="eastAsia" w:cs="宋体"/>
          <w:b w:val="0"/>
          <w:sz w:val="24"/>
          <w:szCs w:val="24"/>
          <w:highlight w:val="none"/>
          <w:lang w:val="en-US" w:eastAsia="zh-CN" w:bidi="ar"/>
        </w:rPr>
        <w:t>参选</w:t>
      </w:r>
      <w:r>
        <w:rPr>
          <w:rStyle w:val="59"/>
          <w:rFonts w:hint="eastAsia" w:cs="宋体"/>
          <w:b w:val="0"/>
          <w:sz w:val="24"/>
          <w:szCs w:val="24"/>
          <w:highlight w:val="none"/>
          <w:lang w:bidi="ar"/>
        </w:rPr>
        <w:t>人在</w:t>
      </w:r>
      <w:r>
        <w:rPr>
          <w:rStyle w:val="59"/>
          <w:rFonts w:hint="eastAsia" w:cs="宋体"/>
          <w:b w:val="0"/>
          <w:sz w:val="24"/>
          <w:szCs w:val="24"/>
          <w:highlight w:val="none"/>
          <w:lang w:val="en-US" w:eastAsia="zh-CN" w:bidi="ar"/>
        </w:rPr>
        <w:t>参选</w:t>
      </w:r>
      <w:r>
        <w:rPr>
          <w:rStyle w:val="59"/>
          <w:rFonts w:hint="eastAsia" w:cs="宋体"/>
          <w:b w:val="0"/>
          <w:sz w:val="24"/>
          <w:szCs w:val="24"/>
          <w:highlight w:val="none"/>
          <w:lang w:bidi="ar"/>
        </w:rPr>
        <w:t>响应文件中没有以书面方式对招</w:t>
      </w:r>
      <w:r>
        <w:rPr>
          <w:rStyle w:val="59"/>
          <w:rFonts w:hint="eastAsia" w:cs="宋体"/>
          <w:b w:val="0"/>
          <w:sz w:val="24"/>
          <w:szCs w:val="24"/>
          <w:highlight w:val="none"/>
          <w:lang w:val="en-US" w:eastAsia="zh-CN" w:bidi="ar"/>
        </w:rPr>
        <w:t>选</w:t>
      </w:r>
      <w:r>
        <w:rPr>
          <w:rStyle w:val="59"/>
          <w:rFonts w:hint="eastAsia" w:cs="宋体"/>
          <w:b w:val="0"/>
          <w:sz w:val="24"/>
          <w:szCs w:val="24"/>
          <w:highlight w:val="none"/>
          <w:lang w:bidi="ar"/>
        </w:rPr>
        <w:t>文件规定的项目提出不满足或不响应或负偏离，则视为</w:t>
      </w:r>
      <w:r>
        <w:rPr>
          <w:rStyle w:val="59"/>
          <w:rFonts w:hint="eastAsia" w:cs="宋体"/>
          <w:b w:val="0"/>
          <w:sz w:val="24"/>
          <w:szCs w:val="24"/>
          <w:highlight w:val="none"/>
          <w:lang w:val="en-US" w:eastAsia="zh-CN" w:bidi="ar"/>
        </w:rPr>
        <w:t>参选</w:t>
      </w:r>
      <w:r>
        <w:rPr>
          <w:rStyle w:val="59"/>
          <w:rFonts w:hint="eastAsia" w:cs="宋体"/>
          <w:b w:val="0"/>
          <w:sz w:val="24"/>
          <w:szCs w:val="24"/>
          <w:highlight w:val="none"/>
          <w:lang w:bidi="ar"/>
        </w:rPr>
        <w:t>人能够完全理解并满足</w:t>
      </w:r>
      <w:r>
        <w:rPr>
          <w:rStyle w:val="59"/>
          <w:rFonts w:hint="eastAsia" w:cs="宋体"/>
          <w:b w:val="0"/>
          <w:sz w:val="24"/>
          <w:szCs w:val="24"/>
          <w:highlight w:val="none"/>
          <w:lang w:eastAsia="zh-CN" w:bidi="ar"/>
        </w:rPr>
        <w:t>本次</w:t>
      </w:r>
      <w:r>
        <w:rPr>
          <w:rStyle w:val="59"/>
          <w:rFonts w:hint="eastAsia" w:cs="宋体"/>
          <w:b w:val="0"/>
          <w:sz w:val="24"/>
          <w:szCs w:val="24"/>
          <w:highlight w:val="none"/>
          <w:lang w:bidi="ar"/>
        </w:rPr>
        <w:t>招</w:t>
      </w:r>
      <w:r>
        <w:rPr>
          <w:rStyle w:val="59"/>
          <w:rFonts w:hint="eastAsia" w:cs="宋体"/>
          <w:b w:val="0"/>
          <w:sz w:val="24"/>
          <w:szCs w:val="24"/>
          <w:highlight w:val="none"/>
          <w:lang w:eastAsia="zh-CN" w:bidi="ar"/>
        </w:rPr>
        <w:t>选</w:t>
      </w:r>
      <w:r>
        <w:rPr>
          <w:rStyle w:val="59"/>
          <w:rFonts w:hint="eastAsia" w:cs="宋体"/>
          <w:b w:val="0"/>
          <w:sz w:val="24"/>
          <w:szCs w:val="24"/>
          <w:highlight w:val="none"/>
          <w:lang w:bidi="ar"/>
        </w:rPr>
        <w:t>规定的各相关条款要求。如有不满足或不响应或负偏离，不管是多么微小，</w:t>
      </w:r>
      <w:r>
        <w:rPr>
          <w:rStyle w:val="59"/>
          <w:rFonts w:hint="eastAsia" w:cs="宋体"/>
          <w:b w:val="0"/>
          <w:sz w:val="24"/>
          <w:szCs w:val="24"/>
          <w:highlight w:val="none"/>
          <w:lang w:val="en-US" w:eastAsia="zh-CN" w:bidi="ar"/>
        </w:rPr>
        <w:t>参选</w:t>
      </w:r>
      <w:r>
        <w:rPr>
          <w:rStyle w:val="59"/>
          <w:rFonts w:hint="eastAsia" w:cs="宋体"/>
          <w:b w:val="0"/>
          <w:sz w:val="24"/>
          <w:szCs w:val="24"/>
          <w:highlight w:val="none"/>
          <w:lang w:bidi="ar"/>
        </w:rPr>
        <w:t>人都应在响应文件中按上表格式加以如实详细说明，否则，</w:t>
      </w:r>
      <w:r>
        <w:rPr>
          <w:rStyle w:val="59"/>
          <w:rFonts w:hint="eastAsia" w:cs="宋体"/>
          <w:b w:val="0"/>
          <w:sz w:val="24"/>
          <w:szCs w:val="24"/>
          <w:highlight w:val="none"/>
          <w:lang w:val="en-US" w:eastAsia="zh-CN" w:bidi="ar"/>
        </w:rPr>
        <w:t>参选</w:t>
      </w:r>
      <w:r>
        <w:rPr>
          <w:rStyle w:val="59"/>
          <w:rFonts w:hint="eastAsia" w:cs="宋体"/>
          <w:b w:val="0"/>
          <w:sz w:val="24"/>
          <w:szCs w:val="24"/>
          <w:highlight w:val="none"/>
          <w:lang w:bidi="ar"/>
        </w:rPr>
        <w:t>人成交后才提出或者被采购人发现的任何负偏离或不响应或不满足均视为成交供应商违约，按供应商虚假承诺骗取成交处理，采购人将取消其成交供应商资格，其</w:t>
      </w:r>
      <w:r>
        <w:rPr>
          <w:rStyle w:val="59"/>
          <w:rFonts w:hint="eastAsia" w:cs="宋体"/>
          <w:b w:val="0"/>
          <w:sz w:val="24"/>
          <w:szCs w:val="24"/>
          <w:highlight w:val="none"/>
          <w:lang w:val="en-US" w:eastAsia="zh-CN" w:bidi="ar"/>
        </w:rPr>
        <w:t>参选</w:t>
      </w:r>
      <w:r>
        <w:rPr>
          <w:rStyle w:val="59"/>
          <w:rFonts w:hint="eastAsia" w:cs="宋体"/>
          <w:b w:val="0"/>
          <w:sz w:val="24"/>
          <w:szCs w:val="24"/>
          <w:highlight w:val="none"/>
          <w:lang w:bidi="ar"/>
        </w:rPr>
        <w:t>保证金（如果未签订合同）将不予退还，给</w:t>
      </w:r>
      <w:r>
        <w:rPr>
          <w:rStyle w:val="59"/>
          <w:rFonts w:hint="eastAsia" w:cs="宋体"/>
          <w:b w:val="0"/>
          <w:sz w:val="24"/>
          <w:szCs w:val="24"/>
          <w:highlight w:val="none"/>
          <w:lang w:val="en-US" w:eastAsia="zh-CN" w:bidi="ar"/>
        </w:rPr>
        <w:t>招选</w:t>
      </w:r>
      <w:r>
        <w:rPr>
          <w:rStyle w:val="59"/>
          <w:rFonts w:hint="eastAsia" w:cs="宋体"/>
          <w:b w:val="0"/>
          <w:sz w:val="24"/>
          <w:szCs w:val="24"/>
          <w:highlight w:val="none"/>
          <w:lang w:bidi="ar"/>
        </w:rPr>
        <w:t>人造成损失的，还必须进行赔偿并负相关责任。</w:t>
      </w:r>
    </w:p>
    <w:p w14:paraId="7B1A5D23">
      <w:pPr>
        <w:spacing w:line="440" w:lineRule="exact"/>
        <w:ind w:firstLine="8520" w:firstLineChars="3550"/>
        <w:rPr>
          <w:rFonts w:ascii="宋体" w:hAnsi="宋体" w:cs="宋体"/>
          <w:sz w:val="24"/>
          <w:highlight w:val="none"/>
          <w:u w:val="single"/>
        </w:rPr>
      </w:pPr>
      <w:r>
        <w:rPr>
          <w:rFonts w:hint="eastAsia" w:ascii="宋体" w:hAnsi="宋体" w:cs="宋体"/>
          <w:sz w:val="24"/>
          <w:highlight w:val="none"/>
          <w:lang w:val="en-US" w:eastAsia="zh-CN" w:bidi="ar"/>
        </w:rPr>
        <w:t>参选</w:t>
      </w:r>
      <w:r>
        <w:rPr>
          <w:rFonts w:hint="eastAsia" w:ascii="宋体" w:hAnsi="宋体" w:cs="宋体"/>
          <w:sz w:val="24"/>
          <w:highlight w:val="none"/>
          <w:lang w:bidi="ar"/>
        </w:rPr>
        <w:t>人名称：</w:t>
      </w:r>
      <w:r>
        <w:rPr>
          <w:rFonts w:hint="eastAsia" w:ascii="宋体" w:hAnsi="宋体" w:cs="宋体"/>
          <w:sz w:val="24"/>
          <w:highlight w:val="none"/>
          <w:u w:val="single"/>
          <w:lang w:bidi="ar"/>
        </w:rPr>
        <w:t xml:space="preserve">（盖单位公章）  </w:t>
      </w:r>
    </w:p>
    <w:p w14:paraId="4CAA229F">
      <w:pPr>
        <w:spacing w:line="440" w:lineRule="exact"/>
        <w:ind w:firstLine="8520" w:firstLineChars="3550"/>
        <w:rPr>
          <w:rFonts w:ascii="宋体" w:hAnsi="宋体" w:cs="宋体"/>
          <w:sz w:val="24"/>
          <w:highlight w:val="none"/>
        </w:rPr>
      </w:pPr>
      <w:r>
        <w:rPr>
          <w:rFonts w:hint="eastAsia" w:ascii="宋体" w:hAnsi="宋体" w:cs="宋体"/>
          <w:sz w:val="24"/>
          <w:highlight w:val="none"/>
          <w:lang w:bidi="ar"/>
        </w:rPr>
        <w:t>法定代表人或其委托代理人：</w:t>
      </w:r>
      <w:r>
        <w:rPr>
          <w:rFonts w:hint="eastAsia" w:ascii="宋体" w:hAnsi="宋体" w:cs="宋体"/>
          <w:sz w:val="24"/>
          <w:highlight w:val="none"/>
          <w:u w:val="single"/>
          <w:lang w:bidi="ar"/>
        </w:rPr>
        <w:t xml:space="preserve">       </w:t>
      </w:r>
      <w:r>
        <w:rPr>
          <w:rFonts w:hint="eastAsia" w:ascii="宋体" w:hAnsi="宋体" w:cs="宋体"/>
          <w:sz w:val="24"/>
          <w:highlight w:val="none"/>
          <w:lang w:bidi="ar"/>
        </w:rPr>
        <w:t>（签字）</w:t>
      </w:r>
    </w:p>
    <w:p w14:paraId="3F119E93">
      <w:pPr>
        <w:spacing w:line="440" w:lineRule="exact"/>
        <w:rPr>
          <w:rFonts w:ascii="宋体" w:hAnsi="宋体" w:cs="宋体"/>
          <w:b/>
          <w:sz w:val="24"/>
          <w:highlight w:val="none"/>
        </w:rPr>
        <w:sectPr>
          <w:pgSz w:w="16838" w:h="11906" w:orient="landscape"/>
          <w:pgMar w:top="1417" w:right="1418" w:bottom="1418" w:left="1418" w:header="851" w:footer="992" w:gutter="0"/>
          <w:pgNumType w:fmt="decimal"/>
          <w:cols w:space="720" w:num="1"/>
          <w:docGrid w:type="lines" w:linePitch="312" w:charSpace="0"/>
        </w:sectPr>
      </w:pP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t xml:space="preserve">                                                                       日期：</w:t>
      </w:r>
      <w:r>
        <w:rPr>
          <w:rFonts w:hint="eastAsia" w:ascii="宋体" w:hAnsi="宋体" w:cs="宋体"/>
          <w:sz w:val="24"/>
          <w:highlight w:val="none"/>
          <w:u w:val="single"/>
          <w:lang w:bidi="ar"/>
        </w:rPr>
        <w:t xml:space="preserve">     </w:t>
      </w:r>
      <w:r>
        <w:rPr>
          <w:rFonts w:hint="eastAsia" w:ascii="宋体" w:hAnsi="宋体" w:cs="宋体"/>
          <w:sz w:val="24"/>
          <w:highlight w:val="none"/>
          <w:lang w:bidi="ar"/>
        </w:rPr>
        <w:t>年</w:t>
      </w:r>
      <w:r>
        <w:rPr>
          <w:rFonts w:hint="eastAsia" w:ascii="宋体" w:hAnsi="宋体" w:cs="宋体"/>
          <w:sz w:val="24"/>
          <w:highlight w:val="none"/>
          <w:u w:val="single"/>
          <w:lang w:bidi="ar"/>
        </w:rPr>
        <w:t xml:space="preserve">    </w:t>
      </w:r>
      <w:r>
        <w:rPr>
          <w:rFonts w:hint="eastAsia" w:ascii="宋体" w:hAnsi="宋体" w:cs="宋体"/>
          <w:sz w:val="24"/>
          <w:highlight w:val="none"/>
          <w:lang w:bidi="ar"/>
        </w:rPr>
        <w:t>月</w:t>
      </w:r>
      <w:r>
        <w:rPr>
          <w:rFonts w:hint="eastAsia" w:ascii="宋体" w:hAnsi="宋体" w:cs="宋体"/>
          <w:sz w:val="24"/>
          <w:highlight w:val="none"/>
          <w:u w:val="single"/>
          <w:lang w:bidi="ar"/>
        </w:rPr>
        <w:t xml:space="preserve">    </w:t>
      </w:r>
      <w:r>
        <w:rPr>
          <w:rFonts w:hint="eastAsia" w:ascii="宋体" w:hAnsi="宋体" w:cs="宋体"/>
          <w:sz w:val="24"/>
          <w:highlight w:val="none"/>
          <w:lang w:bidi="ar"/>
        </w:rPr>
        <w:t>日</w:t>
      </w:r>
    </w:p>
    <w:p w14:paraId="67A2950E">
      <w:pPr>
        <w:pageBreakBefore/>
        <w:ind w:firstLine="3190" w:firstLineChars="993"/>
        <w:outlineLvl w:val="1"/>
        <w:rPr>
          <w:rFonts w:ascii="宋体" w:hAnsi="宋体" w:cs="宋体"/>
          <w:b/>
          <w:bCs w:val="0"/>
          <w:color w:val="auto"/>
          <w:sz w:val="32"/>
          <w:szCs w:val="32"/>
          <w:highlight w:val="none"/>
          <w:lang w:bidi="ar"/>
        </w:rPr>
      </w:pPr>
      <w:bookmarkStart w:id="591" w:name="_Toc120110859"/>
      <w:bookmarkStart w:id="592" w:name="_Toc109888281"/>
      <w:r>
        <w:rPr>
          <w:rFonts w:hint="eastAsia" w:ascii="宋体" w:hAnsi="宋体" w:cs="宋体"/>
          <w:b/>
          <w:bCs w:val="0"/>
          <w:color w:val="auto"/>
          <w:sz w:val="32"/>
          <w:szCs w:val="32"/>
          <w:highlight w:val="none"/>
          <w:lang w:bidi="ar"/>
        </w:rPr>
        <w:t>四、</w:t>
      </w:r>
      <w:r>
        <w:rPr>
          <w:rFonts w:hint="eastAsia" w:ascii="宋体" w:hAnsi="宋体" w:cs="宋体"/>
          <w:b/>
          <w:bCs w:val="0"/>
          <w:color w:val="auto"/>
          <w:sz w:val="32"/>
          <w:szCs w:val="32"/>
          <w:highlight w:val="none"/>
          <w:lang w:val="en-US" w:eastAsia="zh-CN" w:bidi="ar"/>
        </w:rPr>
        <w:t>参选</w:t>
      </w:r>
      <w:r>
        <w:rPr>
          <w:rFonts w:hint="eastAsia" w:ascii="宋体" w:hAnsi="宋体" w:cs="宋体"/>
          <w:b/>
          <w:bCs w:val="0"/>
          <w:color w:val="auto"/>
          <w:sz w:val="32"/>
          <w:szCs w:val="32"/>
          <w:highlight w:val="none"/>
          <w:lang w:bidi="ar"/>
        </w:rPr>
        <w:t>人的资格证明文件</w:t>
      </w:r>
      <w:bookmarkEnd w:id="591"/>
      <w:bookmarkEnd w:id="592"/>
    </w:p>
    <w:p w14:paraId="5E456E47">
      <w:pPr>
        <w:pStyle w:val="27"/>
        <w:widowControl w:val="0"/>
        <w:spacing w:before="0" w:beforeAutospacing="0" w:after="0" w:afterAutospacing="0" w:line="440" w:lineRule="exact"/>
        <w:ind w:firstLine="883" w:firstLineChars="200"/>
        <w:jc w:val="both"/>
        <w:outlineLvl w:val="0"/>
        <w:rPr>
          <w:rFonts w:cs="宋体"/>
          <w:b/>
          <w:kern w:val="2"/>
          <w:sz w:val="44"/>
          <w:szCs w:val="44"/>
          <w:highlight w:val="none"/>
        </w:rPr>
      </w:pPr>
      <w:r>
        <w:rPr>
          <w:rFonts w:hint="eastAsia" w:cs="宋体"/>
          <w:b/>
          <w:kern w:val="2"/>
          <w:sz w:val="44"/>
          <w:szCs w:val="44"/>
          <w:highlight w:val="none"/>
          <w:lang w:bidi="ar"/>
        </w:rPr>
        <w:t xml:space="preserve"> </w:t>
      </w:r>
    </w:p>
    <w:p w14:paraId="6BD2B79A">
      <w:pPr>
        <w:numPr>
          <w:ilvl w:val="0"/>
          <w:numId w:val="14"/>
        </w:numPr>
        <w:spacing w:line="360" w:lineRule="auto"/>
        <w:outlineLvl w:val="2"/>
        <w:rPr>
          <w:rFonts w:ascii="宋体" w:hAnsi="宋体" w:cs="宋体"/>
          <w:b/>
          <w:sz w:val="24"/>
          <w:highlight w:val="none"/>
        </w:rPr>
      </w:pPr>
      <w:bookmarkStart w:id="593" w:name="_Toc82589581"/>
      <w:bookmarkStart w:id="594" w:name="_Toc109888282"/>
      <w:bookmarkStart w:id="595" w:name="_Toc599"/>
      <w:bookmarkStart w:id="596" w:name="_Toc120110860"/>
      <w:r>
        <w:rPr>
          <w:rFonts w:hint="eastAsia" w:ascii="宋体" w:hAnsi="宋体" w:cs="宋体"/>
          <w:b/>
          <w:sz w:val="24"/>
          <w:highlight w:val="none"/>
          <w:lang w:bidi="ar"/>
        </w:rPr>
        <w:t>资格证明文件</w:t>
      </w:r>
      <w:bookmarkEnd w:id="593"/>
      <w:bookmarkEnd w:id="594"/>
      <w:bookmarkEnd w:id="595"/>
      <w:bookmarkEnd w:id="596"/>
    </w:p>
    <w:p w14:paraId="61F1087F">
      <w:pPr>
        <w:spacing w:line="360" w:lineRule="auto"/>
        <w:ind w:firstLine="482" w:firstLineChars="200"/>
        <w:outlineLvl w:val="2"/>
        <w:rPr>
          <w:rFonts w:ascii="宋体" w:hAnsi="宋体" w:cs="宋体"/>
          <w:b/>
          <w:sz w:val="24"/>
          <w:highlight w:val="none"/>
          <w:lang w:bidi="ar"/>
        </w:rPr>
      </w:pPr>
      <w:bookmarkStart w:id="597" w:name="_Toc120110861"/>
      <w:bookmarkStart w:id="598" w:name="_Toc109888283"/>
      <w:bookmarkStart w:id="599" w:name="_Toc11867"/>
      <w:bookmarkStart w:id="600" w:name="_Toc82589582"/>
      <w:r>
        <w:rPr>
          <w:rFonts w:hint="eastAsia" w:ascii="宋体" w:hAnsi="宋体" w:cs="宋体"/>
          <w:b/>
          <w:sz w:val="24"/>
          <w:highlight w:val="none"/>
          <w:lang w:val="en-US" w:eastAsia="zh-CN" w:bidi="ar"/>
        </w:rPr>
        <w:t>参选人</w:t>
      </w:r>
      <w:r>
        <w:rPr>
          <w:rFonts w:hint="eastAsia" w:ascii="宋体" w:hAnsi="宋体" w:cs="宋体"/>
          <w:b/>
          <w:sz w:val="24"/>
          <w:highlight w:val="none"/>
          <w:lang w:bidi="ar"/>
        </w:rPr>
        <w:t>企业营业执照、法人身份证复印件、项目负责人身份证复印件并加盖单位公章等。</w:t>
      </w:r>
      <w:bookmarkEnd w:id="597"/>
      <w:bookmarkEnd w:id="598"/>
      <w:bookmarkEnd w:id="599"/>
      <w:bookmarkEnd w:id="600"/>
    </w:p>
    <w:p w14:paraId="250520DE">
      <w:pPr>
        <w:spacing w:line="360" w:lineRule="auto"/>
        <w:ind w:firstLine="482" w:firstLineChars="200"/>
        <w:outlineLvl w:val="2"/>
        <w:rPr>
          <w:rFonts w:ascii="宋体" w:hAnsi="宋体" w:cs="宋体"/>
          <w:b/>
          <w:sz w:val="24"/>
          <w:highlight w:val="none"/>
          <w:lang w:bidi="ar"/>
        </w:rPr>
      </w:pPr>
    </w:p>
    <w:p w14:paraId="49528731">
      <w:pPr>
        <w:spacing w:line="360" w:lineRule="auto"/>
        <w:ind w:firstLine="482" w:firstLineChars="200"/>
        <w:outlineLvl w:val="2"/>
        <w:rPr>
          <w:rFonts w:ascii="宋体" w:hAnsi="宋体" w:cs="宋体"/>
          <w:b/>
          <w:sz w:val="24"/>
          <w:highlight w:val="none"/>
          <w:lang w:bidi="ar"/>
        </w:rPr>
      </w:pPr>
    </w:p>
    <w:p w14:paraId="6645CEFD">
      <w:pPr>
        <w:spacing w:line="360" w:lineRule="auto"/>
        <w:ind w:firstLine="482" w:firstLineChars="200"/>
        <w:outlineLvl w:val="2"/>
        <w:rPr>
          <w:rFonts w:ascii="宋体" w:hAnsi="宋体" w:cs="宋体"/>
          <w:b/>
          <w:sz w:val="24"/>
          <w:highlight w:val="none"/>
          <w:lang w:bidi="ar"/>
        </w:rPr>
      </w:pPr>
    </w:p>
    <w:p w14:paraId="4033A337">
      <w:pPr>
        <w:spacing w:line="360" w:lineRule="auto"/>
        <w:ind w:firstLine="482" w:firstLineChars="200"/>
        <w:outlineLvl w:val="2"/>
        <w:rPr>
          <w:rFonts w:ascii="宋体" w:hAnsi="宋体" w:cs="宋体"/>
          <w:b/>
          <w:sz w:val="24"/>
          <w:highlight w:val="none"/>
          <w:lang w:bidi="ar"/>
        </w:rPr>
      </w:pPr>
    </w:p>
    <w:p w14:paraId="6CE0EB21">
      <w:pPr>
        <w:spacing w:line="360" w:lineRule="auto"/>
        <w:ind w:firstLine="482" w:firstLineChars="200"/>
        <w:outlineLvl w:val="2"/>
        <w:rPr>
          <w:rFonts w:ascii="宋体" w:hAnsi="宋体" w:cs="宋体"/>
          <w:b/>
          <w:sz w:val="24"/>
          <w:highlight w:val="none"/>
          <w:lang w:bidi="ar"/>
        </w:rPr>
      </w:pPr>
    </w:p>
    <w:p w14:paraId="0246E35A">
      <w:pPr>
        <w:spacing w:line="360" w:lineRule="auto"/>
        <w:ind w:firstLine="482" w:firstLineChars="200"/>
        <w:outlineLvl w:val="2"/>
        <w:rPr>
          <w:rFonts w:ascii="宋体" w:hAnsi="宋体" w:cs="宋体"/>
          <w:b/>
          <w:sz w:val="24"/>
          <w:highlight w:val="none"/>
          <w:lang w:bidi="ar"/>
        </w:rPr>
      </w:pPr>
    </w:p>
    <w:p w14:paraId="6979787F">
      <w:pPr>
        <w:spacing w:line="360" w:lineRule="auto"/>
        <w:ind w:firstLine="482" w:firstLineChars="200"/>
        <w:outlineLvl w:val="2"/>
        <w:rPr>
          <w:rFonts w:ascii="宋体" w:hAnsi="宋体" w:cs="宋体"/>
          <w:b/>
          <w:sz w:val="24"/>
          <w:highlight w:val="none"/>
          <w:lang w:bidi="ar"/>
        </w:rPr>
      </w:pPr>
    </w:p>
    <w:p w14:paraId="42427DC7">
      <w:pPr>
        <w:spacing w:line="360" w:lineRule="auto"/>
        <w:ind w:firstLine="482" w:firstLineChars="200"/>
        <w:outlineLvl w:val="2"/>
        <w:rPr>
          <w:rFonts w:ascii="宋体" w:hAnsi="宋体" w:cs="宋体"/>
          <w:b/>
          <w:sz w:val="24"/>
          <w:highlight w:val="none"/>
          <w:lang w:bidi="ar"/>
        </w:rPr>
      </w:pPr>
    </w:p>
    <w:p w14:paraId="467C4AAE">
      <w:pPr>
        <w:spacing w:line="360" w:lineRule="auto"/>
        <w:ind w:firstLine="482" w:firstLineChars="200"/>
        <w:outlineLvl w:val="2"/>
        <w:rPr>
          <w:rFonts w:ascii="宋体" w:hAnsi="宋体" w:cs="宋体"/>
          <w:b/>
          <w:sz w:val="24"/>
          <w:highlight w:val="none"/>
          <w:lang w:bidi="ar"/>
        </w:rPr>
      </w:pPr>
    </w:p>
    <w:p w14:paraId="139BE5DC">
      <w:pPr>
        <w:spacing w:line="360" w:lineRule="auto"/>
        <w:ind w:firstLine="482" w:firstLineChars="200"/>
        <w:outlineLvl w:val="2"/>
        <w:rPr>
          <w:rFonts w:ascii="宋体" w:hAnsi="宋体" w:cs="宋体"/>
          <w:b/>
          <w:sz w:val="24"/>
          <w:highlight w:val="none"/>
          <w:lang w:bidi="ar"/>
        </w:rPr>
      </w:pPr>
    </w:p>
    <w:p w14:paraId="25DF39AD">
      <w:pPr>
        <w:spacing w:line="360" w:lineRule="auto"/>
        <w:ind w:firstLine="482" w:firstLineChars="200"/>
        <w:outlineLvl w:val="2"/>
        <w:rPr>
          <w:rFonts w:ascii="宋体" w:hAnsi="宋体" w:cs="宋体"/>
          <w:b/>
          <w:sz w:val="24"/>
          <w:highlight w:val="none"/>
          <w:lang w:bidi="ar"/>
        </w:rPr>
      </w:pPr>
    </w:p>
    <w:p w14:paraId="559D0514">
      <w:pPr>
        <w:spacing w:line="360" w:lineRule="auto"/>
        <w:ind w:firstLine="482" w:firstLineChars="200"/>
        <w:outlineLvl w:val="2"/>
        <w:rPr>
          <w:rFonts w:ascii="宋体" w:hAnsi="宋体" w:cs="宋体"/>
          <w:b/>
          <w:sz w:val="24"/>
          <w:highlight w:val="none"/>
          <w:lang w:bidi="ar"/>
        </w:rPr>
      </w:pPr>
    </w:p>
    <w:p w14:paraId="2FC8826B">
      <w:pPr>
        <w:spacing w:line="360" w:lineRule="auto"/>
        <w:ind w:firstLine="482" w:firstLineChars="200"/>
        <w:outlineLvl w:val="2"/>
        <w:rPr>
          <w:rFonts w:ascii="宋体" w:hAnsi="宋体" w:cs="宋体"/>
          <w:b/>
          <w:sz w:val="24"/>
          <w:highlight w:val="none"/>
          <w:lang w:bidi="ar"/>
        </w:rPr>
      </w:pPr>
    </w:p>
    <w:p w14:paraId="523D687A">
      <w:pPr>
        <w:spacing w:line="360" w:lineRule="auto"/>
        <w:ind w:firstLine="482" w:firstLineChars="200"/>
        <w:outlineLvl w:val="2"/>
        <w:rPr>
          <w:rFonts w:ascii="宋体" w:hAnsi="宋体" w:cs="宋体"/>
          <w:b/>
          <w:sz w:val="24"/>
          <w:highlight w:val="none"/>
          <w:lang w:bidi="ar"/>
        </w:rPr>
      </w:pPr>
    </w:p>
    <w:p w14:paraId="79DD5B5B">
      <w:pPr>
        <w:spacing w:line="360" w:lineRule="auto"/>
        <w:ind w:firstLine="482" w:firstLineChars="200"/>
        <w:outlineLvl w:val="2"/>
        <w:rPr>
          <w:rFonts w:ascii="宋体" w:hAnsi="宋体" w:cs="宋体"/>
          <w:b/>
          <w:sz w:val="24"/>
          <w:highlight w:val="none"/>
          <w:lang w:bidi="ar"/>
        </w:rPr>
      </w:pPr>
    </w:p>
    <w:p w14:paraId="13F8AB68">
      <w:pPr>
        <w:spacing w:line="360" w:lineRule="auto"/>
        <w:ind w:firstLine="482" w:firstLineChars="200"/>
        <w:outlineLvl w:val="2"/>
        <w:rPr>
          <w:rFonts w:ascii="宋体" w:hAnsi="宋体" w:cs="宋体"/>
          <w:b/>
          <w:sz w:val="24"/>
          <w:highlight w:val="none"/>
          <w:lang w:bidi="ar"/>
        </w:rPr>
      </w:pPr>
    </w:p>
    <w:p w14:paraId="087A8552">
      <w:pPr>
        <w:spacing w:line="360" w:lineRule="auto"/>
        <w:ind w:firstLine="482" w:firstLineChars="200"/>
        <w:outlineLvl w:val="2"/>
        <w:rPr>
          <w:rFonts w:ascii="宋体" w:hAnsi="宋体" w:cs="宋体"/>
          <w:b/>
          <w:sz w:val="24"/>
          <w:highlight w:val="none"/>
          <w:lang w:bidi="ar"/>
        </w:rPr>
      </w:pPr>
    </w:p>
    <w:p w14:paraId="5DD14DCE">
      <w:pPr>
        <w:spacing w:line="360" w:lineRule="auto"/>
        <w:ind w:firstLine="482" w:firstLineChars="200"/>
        <w:outlineLvl w:val="2"/>
        <w:rPr>
          <w:rFonts w:ascii="宋体" w:hAnsi="宋体" w:cs="宋体"/>
          <w:b/>
          <w:sz w:val="24"/>
          <w:highlight w:val="none"/>
          <w:lang w:bidi="ar"/>
        </w:rPr>
      </w:pPr>
    </w:p>
    <w:p w14:paraId="4ED25A11">
      <w:pPr>
        <w:spacing w:line="360" w:lineRule="auto"/>
        <w:ind w:firstLine="482" w:firstLineChars="200"/>
        <w:outlineLvl w:val="2"/>
        <w:rPr>
          <w:rFonts w:ascii="宋体" w:hAnsi="宋体" w:cs="宋体"/>
          <w:b/>
          <w:sz w:val="24"/>
          <w:highlight w:val="none"/>
          <w:lang w:bidi="ar"/>
        </w:rPr>
      </w:pPr>
    </w:p>
    <w:p w14:paraId="59E8201F">
      <w:pPr>
        <w:spacing w:line="360" w:lineRule="auto"/>
        <w:ind w:firstLine="482" w:firstLineChars="200"/>
        <w:outlineLvl w:val="2"/>
        <w:rPr>
          <w:rFonts w:ascii="宋体" w:hAnsi="宋体" w:cs="宋体"/>
          <w:b/>
          <w:sz w:val="24"/>
          <w:highlight w:val="none"/>
          <w:lang w:bidi="ar"/>
        </w:rPr>
      </w:pPr>
    </w:p>
    <w:p w14:paraId="05702A8B">
      <w:pPr>
        <w:spacing w:line="360" w:lineRule="auto"/>
        <w:ind w:firstLine="482" w:firstLineChars="200"/>
        <w:outlineLvl w:val="2"/>
        <w:rPr>
          <w:rFonts w:ascii="宋体" w:hAnsi="宋体" w:cs="宋体"/>
          <w:b/>
          <w:sz w:val="24"/>
          <w:highlight w:val="none"/>
          <w:lang w:bidi="ar"/>
        </w:rPr>
      </w:pPr>
    </w:p>
    <w:p w14:paraId="10B04A58">
      <w:pPr>
        <w:spacing w:line="360" w:lineRule="auto"/>
        <w:ind w:firstLine="482" w:firstLineChars="200"/>
        <w:outlineLvl w:val="2"/>
        <w:rPr>
          <w:rFonts w:ascii="宋体" w:hAnsi="宋体" w:cs="宋体"/>
          <w:b/>
          <w:sz w:val="24"/>
          <w:highlight w:val="none"/>
          <w:lang w:bidi="ar"/>
        </w:rPr>
      </w:pPr>
    </w:p>
    <w:p w14:paraId="1386D08C">
      <w:pPr>
        <w:spacing w:line="360" w:lineRule="auto"/>
        <w:ind w:firstLine="482" w:firstLineChars="200"/>
        <w:outlineLvl w:val="2"/>
        <w:rPr>
          <w:rFonts w:ascii="宋体" w:hAnsi="宋体" w:cs="宋体"/>
          <w:b/>
          <w:sz w:val="24"/>
          <w:highlight w:val="none"/>
        </w:rPr>
      </w:pPr>
    </w:p>
    <w:p w14:paraId="15493EC3">
      <w:pPr>
        <w:spacing w:line="360" w:lineRule="auto"/>
        <w:ind w:firstLine="482" w:firstLineChars="200"/>
        <w:outlineLvl w:val="2"/>
        <w:rPr>
          <w:rFonts w:ascii="宋体" w:hAnsi="宋体" w:cs="宋体"/>
          <w:b/>
          <w:sz w:val="24"/>
          <w:highlight w:val="none"/>
        </w:rPr>
      </w:pPr>
      <w:r>
        <w:rPr>
          <w:rFonts w:hint="eastAsia" w:ascii="宋体" w:hAnsi="宋体" w:cs="宋体"/>
          <w:b/>
          <w:sz w:val="24"/>
          <w:highlight w:val="none"/>
          <w:lang w:bidi="ar"/>
        </w:rPr>
        <w:t xml:space="preserve"> </w:t>
      </w:r>
    </w:p>
    <w:p w14:paraId="1E0EBB4A">
      <w:pPr>
        <w:pageBreakBefore/>
        <w:numPr>
          <w:ilvl w:val="0"/>
          <w:numId w:val="14"/>
        </w:numPr>
        <w:spacing w:line="360" w:lineRule="auto"/>
        <w:outlineLvl w:val="2"/>
        <w:rPr>
          <w:rFonts w:ascii="宋体" w:hAnsi="宋体" w:cs="宋体"/>
          <w:b/>
          <w:sz w:val="24"/>
          <w:highlight w:val="none"/>
        </w:rPr>
      </w:pPr>
      <w:bookmarkStart w:id="601" w:name="_Toc120110862"/>
      <w:bookmarkStart w:id="602" w:name="_Toc6808"/>
      <w:bookmarkStart w:id="603" w:name="_Toc82589583"/>
      <w:bookmarkStart w:id="604" w:name="_Toc109888284"/>
      <w:r>
        <w:rPr>
          <w:rFonts w:hint="eastAsia" w:ascii="宋体" w:hAnsi="宋体" w:cs="宋体"/>
          <w:b/>
          <w:sz w:val="24"/>
          <w:highlight w:val="none"/>
          <w:lang w:bidi="ar"/>
        </w:rPr>
        <w:t>法定代表人授权书</w:t>
      </w:r>
      <w:bookmarkEnd w:id="601"/>
      <w:bookmarkEnd w:id="602"/>
      <w:bookmarkEnd w:id="603"/>
      <w:bookmarkEnd w:id="604"/>
    </w:p>
    <w:p w14:paraId="53550E10">
      <w:pPr>
        <w:pStyle w:val="27"/>
        <w:widowControl w:val="0"/>
        <w:spacing w:before="468" w:beforeLines="150" w:beforeAutospacing="0" w:after="468" w:afterLines="150" w:afterAutospacing="0" w:line="0" w:lineRule="atLeast"/>
        <w:jc w:val="center"/>
        <w:outlineLvl w:val="2"/>
        <w:rPr>
          <w:rFonts w:cs="宋体"/>
          <w:kern w:val="2"/>
          <w:sz w:val="32"/>
          <w:szCs w:val="32"/>
          <w:highlight w:val="none"/>
        </w:rPr>
      </w:pPr>
      <w:r>
        <w:rPr>
          <w:rFonts w:hint="eastAsia" w:cs="宋体"/>
          <w:b/>
          <w:kern w:val="2"/>
          <w:sz w:val="32"/>
          <w:szCs w:val="32"/>
          <w:highlight w:val="none"/>
          <w:lang w:bidi="ar"/>
        </w:rPr>
        <w:t xml:space="preserve"> </w:t>
      </w:r>
      <w:bookmarkStart w:id="605" w:name="_Toc109888285"/>
      <w:bookmarkStart w:id="606" w:name="_Toc82589584"/>
      <w:bookmarkStart w:id="607" w:name="_Toc120110863"/>
      <w:bookmarkStart w:id="608" w:name="_Toc21556"/>
      <w:r>
        <w:rPr>
          <w:rFonts w:hint="eastAsia" w:cs="宋体"/>
          <w:b/>
          <w:kern w:val="2"/>
          <w:sz w:val="32"/>
          <w:szCs w:val="32"/>
          <w:highlight w:val="none"/>
          <w:lang w:bidi="ar"/>
        </w:rPr>
        <w:t>法定代表人授权书</w:t>
      </w:r>
      <w:bookmarkEnd w:id="605"/>
      <w:bookmarkEnd w:id="606"/>
      <w:bookmarkEnd w:id="607"/>
      <w:bookmarkEnd w:id="608"/>
    </w:p>
    <w:p w14:paraId="41FD5947">
      <w:pPr>
        <w:pStyle w:val="27"/>
        <w:widowControl w:val="0"/>
        <w:spacing w:before="0" w:beforeAutospacing="0" w:after="0" w:afterAutospacing="0" w:line="360" w:lineRule="auto"/>
        <w:rPr>
          <w:rFonts w:cs="宋体"/>
          <w:kern w:val="2"/>
          <w:highlight w:val="none"/>
        </w:rPr>
      </w:pPr>
      <w:r>
        <w:rPr>
          <w:rFonts w:hint="eastAsia" w:cs="宋体"/>
          <w:kern w:val="21"/>
          <w:highlight w:val="none"/>
          <w:u w:val="single"/>
          <w:lang w:bidi="ar"/>
        </w:rPr>
        <w:t>福建省水利水电工程局有限公司</w:t>
      </w:r>
      <w:r>
        <w:rPr>
          <w:rFonts w:hint="eastAsia" w:cs="宋体"/>
          <w:kern w:val="2"/>
          <w:highlight w:val="none"/>
          <w:lang w:bidi="ar"/>
        </w:rPr>
        <w:t>：</w:t>
      </w:r>
    </w:p>
    <w:p w14:paraId="46CC5985">
      <w:pPr>
        <w:pStyle w:val="27"/>
        <w:widowControl w:val="0"/>
        <w:spacing w:before="0" w:beforeAutospacing="0" w:after="0" w:afterAutospacing="0" w:line="360" w:lineRule="auto"/>
        <w:ind w:firstLine="480" w:firstLineChars="200"/>
        <w:jc w:val="both"/>
        <w:rPr>
          <w:rFonts w:cs="宋体"/>
          <w:kern w:val="2"/>
          <w:highlight w:val="none"/>
        </w:rPr>
      </w:pPr>
      <w:r>
        <w:rPr>
          <w:rFonts w:hint="eastAsia" w:cs="宋体"/>
          <w:kern w:val="2"/>
          <w:highlight w:val="none"/>
          <w:u w:val="single"/>
          <w:lang w:bidi="ar"/>
        </w:rPr>
        <w:t>（</w:t>
      </w:r>
      <w:r>
        <w:rPr>
          <w:rFonts w:hint="eastAsia" w:cs="宋体"/>
          <w:kern w:val="2"/>
          <w:highlight w:val="none"/>
          <w:u w:val="single"/>
          <w:lang w:val="en-US" w:eastAsia="zh-CN" w:bidi="ar"/>
        </w:rPr>
        <w:t>参选</w:t>
      </w:r>
      <w:r>
        <w:rPr>
          <w:rFonts w:hint="eastAsia" w:cs="宋体"/>
          <w:kern w:val="2"/>
          <w:highlight w:val="none"/>
          <w:u w:val="single"/>
          <w:lang w:bidi="ar"/>
        </w:rPr>
        <w:t>人全称）</w:t>
      </w:r>
      <w:r>
        <w:rPr>
          <w:rFonts w:hint="eastAsia" w:cs="宋体"/>
          <w:kern w:val="2"/>
          <w:highlight w:val="none"/>
          <w:lang w:bidi="ar"/>
        </w:rPr>
        <w:t>法定代表人</w:t>
      </w:r>
      <w:r>
        <w:rPr>
          <w:rFonts w:hint="eastAsia" w:cs="宋体"/>
          <w:kern w:val="2"/>
          <w:highlight w:val="none"/>
          <w:u w:val="single"/>
          <w:lang w:bidi="ar"/>
        </w:rPr>
        <w:t xml:space="preserve">（法定代表人的名字应与法人营业执照登记的一致）        </w:t>
      </w:r>
      <w:r>
        <w:rPr>
          <w:rFonts w:hint="eastAsia" w:cs="宋体"/>
          <w:kern w:val="2"/>
          <w:highlight w:val="none"/>
          <w:lang w:bidi="ar"/>
        </w:rPr>
        <w:t xml:space="preserve"> 授权</w:t>
      </w:r>
      <w:r>
        <w:rPr>
          <w:rFonts w:hint="eastAsia" w:cs="宋体"/>
          <w:kern w:val="2"/>
          <w:highlight w:val="none"/>
          <w:u w:val="single"/>
          <w:lang w:bidi="ar"/>
        </w:rPr>
        <w:t>（</w:t>
      </w:r>
      <w:r>
        <w:rPr>
          <w:rFonts w:hint="eastAsia" w:cs="宋体"/>
          <w:kern w:val="2"/>
          <w:highlight w:val="none"/>
          <w:u w:val="single"/>
          <w:lang w:val="en-US" w:eastAsia="zh-CN" w:bidi="ar"/>
        </w:rPr>
        <w:t>参选</w:t>
      </w:r>
      <w:r>
        <w:rPr>
          <w:rFonts w:hint="eastAsia" w:cs="宋体"/>
          <w:kern w:val="2"/>
          <w:highlight w:val="none"/>
          <w:u w:val="single"/>
          <w:lang w:bidi="ar"/>
        </w:rPr>
        <w:t>人代表姓名、身份证号码）</w:t>
      </w:r>
      <w:r>
        <w:rPr>
          <w:rFonts w:hint="eastAsia" w:cs="宋体"/>
          <w:kern w:val="2"/>
          <w:highlight w:val="none"/>
          <w:lang w:bidi="ar"/>
        </w:rPr>
        <w:t>为</w:t>
      </w:r>
      <w:r>
        <w:rPr>
          <w:rFonts w:hint="eastAsia" w:cs="宋体"/>
          <w:kern w:val="2"/>
          <w:highlight w:val="none"/>
          <w:u w:val="none"/>
          <w:lang w:val="en-US" w:eastAsia="zh-CN" w:bidi="ar"/>
        </w:rPr>
        <w:t>参选</w:t>
      </w:r>
      <w:r>
        <w:rPr>
          <w:rFonts w:hint="eastAsia" w:cs="宋体"/>
          <w:kern w:val="2"/>
          <w:highlight w:val="none"/>
          <w:lang w:bidi="ar"/>
        </w:rPr>
        <w:t>人代表，代表本</w:t>
      </w:r>
      <w:r>
        <w:rPr>
          <w:rFonts w:hint="eastAsia" w:cs="宋体"/>
          <w:kern w:val="2"/>
          <w:highlight w:val="none"/>
          <w:u w:val="none"/>
          <w:lang w:val="en-US" w:eastAsia="zh-CN" w:bidi="ar"/>
        </w:rPr>
        <w:t>参选</w:t>
      </w:r>
      <w:r>
        <w:rPr>
          <w:rFonts w:hint="eastAsia" w:cs="宋体"/>
          <w:kern w:val="2"/>
          <w:highlight w:val="none"/>
          <w:lang w:bidi="ar"/>
        </w:rPr>
        <w:t>人参加贵公司组织</w:t>
      </w:r>
      <w:r>
        <w:rPr>
          <w:rFonts w:hint="eastAsia" w:cs="宋体"/>
          <w:color w:val="auto"/>
          <w:kern w:val="2"/>
          <w:highlight w:val="none"/>
          <w:lang w:bidi="ar"/>
        </w:rPr>
        <w:t>的</w:t>
      </w:r>
      <w:r>
        <w:rPr>
          <w:rFonts w:hint="eastAsia" w:cs="宋体"/>
          <w:b/>
          <w:bCs/>
          <w:color w:val="auto"/>
          <w:kern w:val="21"/>
          <w:highlight w:val="none"/>
          <w:u w:val="single"/>
          <w:lang w:bidi="ar"/>
        </w:rPr>
        <w:t>福建省水利水电工程局有限公司</w:t>
      </w:r>
      <w:r>
        <w:rPr>
          <w:rFonts w:hint="eastAsia" w:cs="宋体"/>
          <w:b/>
          <w:bCs/>
          <w:color w:val="auto"/>
          <w:highlight w:val="none"/>
          <w:u w:val="single"/>
          <w:lang w:bidi="ar"/>
        </w:rPr>
        <w:t>漳州市东南沿海地区九龙江调水工程阀门类采购项目</w:t>
      </w:r>
      <w:r>
        <w:rPr>
          <w:rFonts w:hint="eastAsia" w:cs="宋体"/>
          <w:b/>
          <w:bCs/>
          <w:color w:val="auto"/>
          <w:highlight w:val="none"/>
          <w:u w:val="single"/>
          <w:lang w:eastAsia="zh-CN" w:bidi="ar"/>
        </w:rPr>
        <w:t>（</w:t>
      </w:r>
      <w:r>
        <w:rPr>
          <w:rFonts w:hint="eastAsia" w:cs="宋体"/>
          <w:b/>
          <w:bCs/>
          <w:color w:val="auto"/>
          <w:highlight w:val="none"/>
          <w:u w:val="single"/>
          <w:lang w:val="en-US" w:eastAsia="zh-CN" w:bidi="ar"/>
        </w:rPr>
        <w:t>重新招选</w:t>
      </w:r>
      <w:r>
        <w:rPr>
          <w:rFonts w:hint="eastAsia" w:cs="宋体"/>
          <w:b/>
          <w:bCs/>
          <w:color w:val="auto"/>
          <w:highlight w:val="none"/>
          <w:u w:val="single"/>
          <w:lang w:eastAsia="zh-CN" w:bidi="ar"/>
        </w:rPr>
        <w:t>）</w:t>
      </w:r>
      <w:r>
        <w:rPr>
          <w:rFonts w:hint="eastAsia" w:cs="宋体"/>
          <w:color w:val="auto"/>
          <w:kern w:val="21"/>
          <w:highlight w:val="none"/>
          <w:lang w:bidi="ar"/>
        </w:rPr>
        <w:t>的</w:t>
      </w:r>
      <w:r>
        <w:rPr>
          <w:rFonts w:hint="eastAsia" w:cs="宋体"/>
          <w:color w:val="auto"/>
          <w:kern w:val="21"/>
          <w:highlight w:val="none"/>
          <w:lang w:val="en-US" w:eastAsia="zh-CN" w:bidi="ar"/>
        </w:rPr>
        <w:t>招</w:t>
      </w:r>
      <w:r>
        <w:rPr>
          <w:rFonts w:hint="eastAsia" w:cs="宋体"/>
          <w:kern w:val="21"/>
          <w:highlight w:val="none"/>
          <w:lang w:val="en-US" w:eastAsia="zh-CN" w:bidi="ar"/>
        </w:rPr>
        <w:t>选</w:t>
      </w:r>
      <w:r>
        <w:rPr>
          <w:rFonts w:hint="eastAsia" w:cs="宋体"/>
          <w:kern w:val="2"/>
          <w:highlight w:val="none"/>
          <w:lang w:bidi="ar"/>
        </w:rPr>
        <w:t>活动，全权代表本</w:t>
      </w:r>
      <w:r>
        <w:rPr>
          <w:rFonts w:hint="eastAsia" w:cs="宋体"/>
          <w:kern w:val="2"/>
          <w:highlight w:val="none"/>
          <w:lang w:val="en-US" w:eastAsia="zh-CN" w:bidi="ar"/>
        </w:rPr>
        <w:t>参选</w:t>
      </w:r>
      <w:r>
        <w:rPr>
          <w:rFonts w:hint="eastAsia" w:cs="宋体"/>
          <w:kern w:val="2"/>
          <w:highlight w:val="none"/>
          <w:lang w:bidi="ar"/>
        </w:rPr>
        <w:t>人处理开</w:t>
      </w:r>
      <w:r>
        <w:rPr>
          <w:rFonts w:hint="eastAsia" w:cs="宋体"/>
          <w:kern w:val="2"/>
          <w:highlight w:val="none"/>
          <w:lang w:val="en-US" w:eastAsia="zh-CN" w:bidi="ar"/>
        </w:rPr>
        <w:t>选</w:t>
      </w:r>
      <w:r>
        <w:rPr>
          <w:rFonts w:hint="eastAsia" w:cs="宋体"/>
          <w:kern w:val="2"/>
          <w:highlight w:val="none"/>
          <w:lang w:bidi="ar"/>
        </w:rPr>
        <w:t>过</w:t>
      </w:r>
      <w:r>
        <w:rPr>
          <w:rFonts w:hint="eastAsia" w:cs="宋体"/>
          <w:kern w:val="2"/>
          <w:highlight w:val="none"/>
          <w:lang w:eastAsia="zh-CN" w:bidi="ar"/>
        </w:rPr>
        <w:t>程中</w:t>
      </w:r>
      <w:r>
        <w:rPr>
          <w:rFonts w:hint="eastAsia" w:cs="宋体"/>
          <w:kern w:val="2"/>
          <w:highlight w:val="none"/>
          <w:lang w:bidi="ar"/>
        </w:rPr>
        <w:t>的一切事宜，包括但不限于：参与开</w:t>
      </w:r>
      <w:r>
        <w:rPr>
          <w:rFonts w:hint="eastAsia" w:cs="宋体"/>
          <w:kern w:val="2"/>
          <w:highlight w:val="none"/>
          <w:lang w:val="en-US" w:eastAsia="zh-CN" w:bidi="ar"/>
        </w:rPr>
        <w:t>选</w:t>
      </w:r>
      <w:r>
        <w:rPr>
          <w:rFonts w:hint="eastAsia" w:cs="宋体"/>
          <w:kern w:val="2"/>
          <w:highlight w:val="none"/>
          <w:lang w:bidi="ar"/>
        </w:rPr>
        <w:t>、报价、签约等。</w:t>
      </w:r>
      <w:r>
        <w:rPr>
          <w:rFonts w:hint="eastAsia" w:cs="宋体"/>
          <w:kern w:val="2"/>
          <w:highlight w:val="none"/>
          <w:lang w:val="en-US" w:eastAsia="zh-CN" w:bidi="ar"/>
        </w:rPr>
        <w:t>参选</w:t>
      </w:r>
      <w:r>
        <w:rPr>
          <w:rFonts w:hint="eastAsia" w:cs="宋体"/>
          <w:kern w:val="2"/>
          <w:highlight w:val="none"/>
          <w:lang w:bidi="ar"/>
        </w:rPr>
        <w:t>人代表在开标过程中所签署的一切文件和处理与之有关的一切事务，本</w:t>
      </w:r>
      <w:r>
        <w:rPr>
          <w:rFonts w:hint="eastAsia" w:cs="宋体"/>
          <w:kern w:val="2"/>
          <w:highlight w:val="none"/>
          <w:lang w:val="en-US" w:eastAsia="zh-CN" w:bidi="ar"/>
        </w:rPr>
        <w:t>参选</w:t>
      </w:r>
      <w:r>
        <w:rPr>
          <w:rFonts w:hint="eastAsia" w:cs="宋体"/>
          <w:kern w:val="2"/>
          <w:highlight w:val="none"/>
          <w:lang w:bidi="ar"/>
        </w:rPr>
        <w:t>人均予以认可并对此承担责任。</w:t>
      </w:r>
      <w:r>
        <w:rPr>
          <w:rFonts w:hint="eastAsia" w:cs="宋体"/>
          <w:kern w:val="2"/>
          <w:highlight w:val="none"/>
          <w:lang w:val="en-US" w:eastAsia="zh-CN" w:bidi="ar"/>
        </w:rPr>
        <w:t>参选</w:t>
      </w:r>
      <w:r>
        <w:rPr>
          <w:rFonts w:hint="eastAsia" w:cs="宋体"/>
          <w:kern w:val="2"/>
          <w:highlight w:val="none"/>
          <w:lang w:bidi="ar"/>
        </w:rPr>
        <w:t>人代表无转委权。特此授权。</w:t>
      </w:r>
    </w:p>
    <w:p w14:paraId="46AB093B">
      <w:pPr>
        <w:pStyle w:val="27"/>
        <w:widowControl w:val="0"/>
        <w:spacing w:before="0" w:beforeAutospacing="0" w:after="0" w:afterAutospacing="0" w:line="360" w:lineRule="auto"/>
        <w:ind w:firstLine="480" w:firstLineChars="200"/>
        <w:jc w:val="both"/>
        <w:rPr>
          <w:rFonts w:cs="宋体"/>
          <w:kern w:val="2"/>
          <w:highlight w:val="none"/>
        </w:rPr>
      </w:pPr>
      <w:r>
        <w:rPr>
          <w:rFonts w:hint="eastAsia" w:cs="宋体"/>
          <w:kern w:val="2"/>
          <w:highlight w:val="none"/>
          <w:lang w:bidi="ar"/>
        </w:rPr>
        <w:t>本授权书自出具之日起生效。</w:t>
      </w:r>
    </w:p>
    <w:p w14:paraId="305DFF52">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lang w:bidi="ar"/>
        </w:rPr>
        <w:t>附：委托代理人身份证复印件。</w:t>
      </w:r>
    </w:p>
    <w:p w14:paraId="42EE393C">
      <w:pPr>
        <w:adjustRightInd w:val="0"/>
        <w:snapToGrid w:val="0"/>
        <w:spacing w:line="360" w:lineRule="auto"/>
        <w:ind w:firstLine="480" w:firstLineChars="200"/>
        <w:rPr>
          <w:rFonts w:ascii="宋体" w:hAnsi="宋体" w:cs="宋体"/>
          <w:sz w:val="24"/>
          <w:highlight w:val="none"/>
          <w:lang w:bidi="ar"/>
        </w:rPr>
      </w:pPr>
      <w:r>
        <w:rPr>
          <w:rFonts w:hint="eastAsia" w:ascii="宋体" w:hAnsi="宋体" w:cs="宋体"/>
          <w:sz w:val="24"/>
          <w:highlight w:val="none"/>
          <w:lang w:bidi="ar"/>
        </w:rPr>
        <w:t xml:space="preserve"> </w:t>
      </w:r>
    </w:p>
    <w:p w14:paraId="13383061">
      <w:pPr>
        <w:adjustRightInd w:val="0"/>
        <w:snapToGrid w:val="0"/>
        <w:spacing w:line="360" w:lineRule="auto"/>
        <w:ind w:firstLine="480" w:firstLineChars="200"/>
        <w:rPr>
          <w:rFonts w:ascii="宋体" w:hAnsi="宋体" w:cs="宋体"/>
          <w:sz w:val="24"/>
          <w:highlight w:val="none"/>
          <w:lang w:bidi="ar"/>
        </w:rPr>
      </w:pPr>
    </w:p>
    <w:p w14:paraId="2B2A9616">
      <w:pPr>
        <w:adjustRightInd w:val="0"/>
        <w:snapToGrid w:val="0"/>
        <w:spacing w:line="360" w:lineRule="auto"/>
        <w:ind w:firstLine="480" w:firstLineChars="200"/>
        <w:rPr>
          <w:rFonts w:ascii="宋体" w:hAnsi="宋体" w:cs="宋体"/>
          <w:sz w:val="24"/>
          <w:highlight w:val="none"/>
          <w:lang w:bidi="ar"/>
        </w:rPr>
      </w:pPr>
    </w:p>
    <w:p w14:paraId="2D11872E">
      <w:pPr>
        <w:pStyle w:val="2"/>
        <w:ind w:firstLine="560"/>
        <w:rPr>
          <w:highlight w:val="none"/>
          <w:lang w:bidi="ar"/>
        </w:rPr>
      </w:pPr>
    </w:p>
    <w:p w14:paraId="1E55F539">
      <w:pPr>
        <w:adjustRightInd w:val="0"/>
        <w:snapToGrid w:val="0"/>
        <w:spacing w:line="360" w:lineRule="auto"/>
        <w:ind w:firstLine="4320" w:firstLineChars="1800"/>
        <w:rPr>
          <w:rFonts w:ascii="宋体" w:hAnsi="宋体" w:cs="宋体"/>
          <w:sz w:val="24"/>
          <w:highlight w:val="none"/>
        </w:rPr>
      </w:pPr>
      <w:r>
        <w:rPr>
          <w:rFonts w:hint="eastAsia" w:ascii="宋体" w:hAnsi="宋体" w:cs="宋体"/>
          <w:sz w:val="24"/>
          <w:highlight w:val="none"/>
          <w:lang w:val="en-US" w:eastAsia="zh-CN" w:bidi="ar"/>
        </w:rPr>
        <w:t>参选人</w:t>
      </w:r>
      <w:r>
        <w:rPr>
          <w:rFonts w:hint="eastAsia" w:ascii="宋体" w:hAnsi="宋体" w:cs="宋体"/>
          <w:sz w:val="24"/>
          <w:highlight w:val="none"/>
          <w:lang w:bidi="ar"/>
        </w:rPr>
        <w:t>名称：</w:t>
      </w:r>
      <w:r>
        <w:rPr>
          <w:rFonts w:hint="eastAsia" w:ascii="宋体" w:hAnsi="宋体" w:cs="宋体"/>
          <w:sz w:val="24"/>
          <w:highlight w:val="none"/>
          <w:u w:val="single"/>
          <w:lang w:bidi="ar"/>
        </w:rPr>
        <w:t xml:space="preserve">（加盖单位公章）         </w:t>
      </w:r>
    </w:p>
    <w:p w14:paraId="66BBFD0A">
      <w:pPr>
        <w:adjustRightInd w:val="0"/>
        <w:snapToGrid w:val="0"/>
        <w:spacing w:line="360" w:lineRule="auto"/>
        <w:ind w:firstLine="4320" w:firstLineChars="1800"/>
        <w:rPr>
          <w:rFonts w:ascii="宋体" w:hAnsi="宋体" w:cs="宋体"/>
          <w:sz w:val="24"/>
          <w:highlight w:val="none"/>
        </w:rPr>
      </w:pPr>
      <w:r>
        <w:rPr>
          <w:rFonts w:hint="eastAsia" w:ascii="宋体" w:hAnsi="宋体" w:cs="宋体"/>
          <w:sz w:val="24"/>
          <w:highlight w:val="none"/>
          <w:lang w:bidi="ar"/>
        </w:rPr>
        <w:t>法定代表人：</w:t>
      </w:r>
      <w:r>
        <w:rPr>
          <w:rFonts w:hint="eastAsia" w:ascii="宋体" w:hAnsi="宋体" w:cs="宋体"/>
          <w:sz w:val="24"/>
          <w:highlight w:val="none"/>
          <w:u w:val="single"/>
          <w:lang w:bidi="ar"/>
        </w:rPr>
        <w:t xml:space="preserve">          （签字）         </w:t>
      </w:r>
    </w:p>
    <w:p w14:paraId="124F5765">
      <w:pPr>
        <w:adjustRightInd w:val="0"/>
        <w:snapToGrid w:val="0"/>
        <w:spacing w:line="360" w:lineRule="auto"/>
        <w:ind w:firstLine="4320" w:firstLineChars="1800"/>
        <w:rPr>
          <w:rFonts w:ascii="宋体" w:hAnsi="宋体" w:cs="宋体"/>
          <w:sz w:val="24"/>
          <w:highlight w:val="none"/>
          <w:u w:val="single"/>
        </w:rPr>
      </w:pPr>
      <w:r>
        <w:rPr>
          <w:rFonts w:hint="eastAsia" w:ascii="宋体" w:hAnsi="宋体" w:cs="宋体"/>
          <w:sz w:val="24"/>
          <w:highlight w:val="none"/>
          <w:lang w:bidi="ar"/>
        </w:rPr>
        <w:t>委托代理人：</w:t>
      </w:r>
      <w:r>
        <w:rPr>
          <w:rFonts w:hint="eastAsia" w:ascii="宋体" w:hAnsi="宋体" w:cs="宋体"/>
          <w:sz w:val="24"/>
          <w:highlight w:val="none"/>
          <w:u w:val="single"/>
          <w:lang w:bidi="ar"/>
        </w:rPr>
        <w:t xml:space="preserve">          （签字）         </w:t>
      </w:r>
    </w:p>
    <w:p w14:paraId="0A383BD5">
      <w:pPr>
        <w:adjustRightInd w:val="0"/>
        <w:snapToGrid w:val="0"/>
        <w:spacing w:line="360" w:lineRule="auto"/>
        <w:ind w:firstLine="4320" w:firstLineChars="1800"/>
        <w:rPr>
          <w:rFonts w:ascii="宋体" w:hAnsi="宋体" w:cs="宋体"/>
          <w:sz w:val="24"/>
          <w:highlight w:val="none"/>
        </w:rPr>
      </w:pPr>
      <w:r>
        <w:rPr>
          <w:rFonts w:hint="eastAsia" w:ascii="宋体" w:hAnsi="宋体" w:cs="宋体"/>
          <w:sz w:val="24"/>
          <w:highlight w:val="none"/>
          <w:lang w:bidi="ar"/>
        </w:rPr>
        <w:t>日期：</w:t>
      </w:r>
      <w:r>
        <w:rPr>
          <w:rFonts w:hint="eastAsia" w:ascii="宋体" w:hAnsi="宋体" w:cs="宋体"/>
          <w:sz w:val="24"/>
          <w:highlight w:val="none"/>
          <w:u w:val="single"/>
          <w:lang w:bidi="ar"/>
        </w:rPr>
        <w:t xml:space="preserve">     </w:t>
      </w:r>
      <w:r>
        <w:rPr>
          <w:rFonts w:hint="eastAsia" w:ascii="宋体" w:hAnsi="宋体" w:cs="宋体"/>
          <w:sz w:val="24"/>
          <w:highlight w:val="none"/>
          <w:lang w:bidi="ar"/>
        </w:rPr>
        <w:t>年</w:t>
      </w:r>
      <w:r>
        <w:rPr>
          <w:rFonts w:hint="eastAsia" w:ascii="宋体" w:hAnsi="宋体" w:cs="宋体"/>
          <w:sz w:val="24"/>
          <w:highlight w:val="none"/>
          <w:u w:val="single"/>
          <w:lang w:bidi="ar"/>
        </w:rPr>
        <w:t xml:space="preserve">    </w:t>
      </w:r>
      <w:r>
        <w:rPr>
          <w:rFonts w:hint="eastAsia" w:ascii="宋体" w:hAnsi="宋体" w:cs="宋体"/>
          <w:sz w:val="24"/>
          <w:highlight w:val="none"/>
          <w:lang w:bidi="ar"/>
        </w:rPr>
        <w:t>月</w:t>
      </w:r>
      <w:r>
        <w:rPr>
          <w:rFonts w:hint="eastAsia" w:ascii="宋体" w:hAnsi="宋体" w:cs="宋体"/>
          <w:sz w:val="24"/>
          <w:highlight w:val="none"/>
          <w:u w:val="single"/>
          <w:lang w:bidi="ar"/>
        </w:rPr>
        <w:t xml:space="preserve">    </w:t>
      </w:r>
      <w:r>
        <w:rPr>
          <w:rFonts w:hint="eastAsia" w:ascii="宋体" w:hAnsi="宋体" w:cs="宋体"/>
          <w:sz w:val="24"/>
          <w:highlight w:val="none"/>
          <w:lang w:bidi="ar"/>
        </w:rPr>
        <w:t>日</w:t>
      </w:r>
    </w:p>
    <w:p w14:paraId="373AC57E">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lang w:bidi="ar"/>
        </w:rPr>
        <w:t xml:space="preserve"> </w:t>
      </w:r>
    </w:p>
    <w:p w14:paraId="0AC86EAD">
      <w:pPr>
        <w:pStyle w:val="27"/>
        <w:widowControl w:val="0"/>
        <w:spacing w:before="0" w:beforeAutospacing="0" w:after="0" w:afterAutospacing="0"/>
        <w:ind w:firstLine="560" w:firstLineChars="200"/>
        <w:jc w:val="both"/>
        <w:rPr>
          <w:rFonts w:cs="宋体"/>
          <w:kern w:val="2"/>
          <w:sz w:val="28"/>
          <w:szCs w:val="28"/>
          <w:highlight w:val="none"/>
        </w:rPr>
      </w:pPr>
      <w:r>
        <w:rPr>
          <w:rFonts w:hint="eastAsia" w:cs="宋体"/>
          <w:kern w:val="2"/>
          <w:sz w:val="28"/>
          <w:szCs w:val="28"/>
          <w:highlight w:val="none"/>
          <w:lang w:bidi="ar"/>
        </w:rPr>
        <w:t xml:space="preserve"> </w:t>
      </w:r>
    </w:p>
    <w:p w14:paraId="4032C9D4">
      <w:pPr>
        <w:pStyle w:val="27"/>
        <w:widowControl w:val="0"/>
        <w:spacing w:before="0" w:beforeAutospacing="0" w:after="0" w:afterAutospacing="0"/>
        <w:ind w:firstLine="560" w:firstLineChars="200"/>
        <w:jc w:val="both"/>
        <w:rPr>
          <w:rFonts w:cs="宋体"/>
          <w:kern w:val="2"/>
          <w:sz w:val="28"/>
          <w:szCs w:val="28"/>
          <w:highlight w:val="none"/>
          <w:lang w:bidi="ar"/>
        </w:rPr>
      </w:pPr>
      <w:r>
        <w:rPr>
          <w:rFonts w:hint="eastAsia" w:cs="宋体"/>
          <w:kern w:val="2"/>
          <w:sz w:val="28"/>
          <w:szCs w:val="28"/>
          <w:highlight w:val="none"/>
          <w:lang w:bidi="ar"/>
        </w:rPr>
        <w:t xml:space="preserve"> </w:t>
      </w:r>
    </w:p>
    <w:p w14:paraId="09990D53">
      <w:pPr>
        <w:pStyle w:val="27"/>
        <w:widowControl w:val="0"/>
        <w:spacing w:before="0" w:beforeAutospacing="0" w:after="0" w:afterAutospacing="0"/>
        <w:ind w:firstLine="560" w:firstLineChars="200"/>
        <w:jc w:val="both"/>
        <w:rPr>
          <w:rFonts w:cs="宋体"/>
          <w:kern w:val="2"/>
          <w:sz w:val="28"/>
          <w:szCs w:val="28"/>
          <w:highlight w:val="none"/>
          <w:lang w:bidi="ar"/>
        </w:rPr>
      </w:pPr>
    </w:p>
    <w:p w14:paraId="57A85F41">
      <w:pPr>
        <w:pStyle w:val="27"/>
        <w:widowControl w:val="0"/>
        <w:spacing w:before="0" w:beforeAutospacing="0" w:after="0" w:afterAutospacing="0"/>
        <w:ind w:firstLine="560" w:firstLineChars="200"/>
        <w:jc w:val="both"/>
        <w:rPr>
          <w:rFonts w:cs="宋体"/>
          <w:kern w:val="2"/>
          <w:sz w:val="28"/>
          <w:szCs w:val="28"/>
          <w:highlight w:val="none"/>
          <w:lang w:bidi="ar"/>
        </w:rPr>
      </w:pPr>
    </w:p>
    <w:p w14:paraId="2E2985DD">
      <w:pPr>
        <w:pStyle w:val="27"/>
        <w:widowControl w:val="0"/>
        <w:spacing w:before="0" w:beforeAutospacing="0" w:after="0" w:afterAutospacing="0"/>
        <w:ind w:firstLine="560" w:firstLineChars="200"/>
        <w:jc w:val="both"/>
        <w:rPr>
          <w:rFonts w:cs="宋体"/>
          <w:kern w:val="2"/>
          <w:sz w:val="28"/>
          <w:szCs w:val="28"/>
          <w:highlight w:val="none"/>
          <w:lang w:bidi="ar"/>
        </w:rPr>
      </w:pPr>
    </w:p>
    <w:p w14:paraId="486942A3">
      <w:pPr>
        <w:pStyle w:val="27"/>
        <w:widowControl w:val="0"/>
        <w:spacing w:before="0" w:beforeAutospacing="0" w:after="0" w:afterAutospacing="0"/>
        <w:jc w:val="both"/>
        <w:rPr>
          <w:b/>
          <w:kern w:val="2"/>
          <w:highlight w:val="none"/>
        </w:rPr>
      </w:pPr>
      <w:r>
        <w:rPr>
          <w:rFonts w:hint="eastAsia" w:cs="宋体"/>
          <w:b/>
          <w:kern w:val="2"/>
          <w:highlight w:val="none"/>
          <w:lang w:eastAsia="zh-CN" w:bidi="ar"/>
        </w:rPr>
        <w:t>3.</w:t>
      </w:r>
      <w:r>
        <w:rPr>
          <w:rFonts w:hint="eastAsia" w:cs="宋体"/>
          <w:b/>
          <w:bCs/>
          <w:kern w:val="2"/>
          <w:highlight w:val="none"/>
          <w:lang w:bidi="ar"/>
        </w:rPr>
        <w:t>财务状况报告</w:t>
      </w:r>
    </w:p>
    <w:p w14:paraId="4E0F2494">
      <w:pPr>
        <w:pStyle w:val="27"/>
        <w:spacing w:before="75" w:beforeAutospacing="0" w:after="75" w:afterAutospacing="0" w:line="360" w:lineRule="auto"/>
        <w:ind w:firstLine="480" w:firstLineChars="200"/>
        <w:rPr>
          <w:kern w:val="2"/>
          <w:highlight w:val="none"/>
        </w:rPr>
      </w:pPr>
      <w:r>
        <w:rPr>
          <w:rFonts w:hint="eastAsia" w:cs="宋体"/>
          <w:kern w:val="2"/>
          <w:highlight w:val="none"/>
          <w:lang w:val="en-US" w:eastAsia="zh-CN" w:bidi="ar"/>
        </w:rPr>
        <w:t>参</w:t>
      </w:r>
      <w:r>
        <w:rPr>
          <w:rFonts w:hint="eastAsia" w:cs="宋体"/>
          <w:kern w:val="2"/>
          <w:highlight w:val="none"/>
          <w:lang w:eastAsia="zh-CN" w:bidi="ar"/>
        </w:rPr>
        <w:t>选</w:t>
      </w:r>
      <w:r>
        <w:rPr>
          <w:rFonts w:hint="eastAsia" w:cs="宋体"/>
          <w:kern w:val="2"/>
          <w:highlight w:val="none"/>
          <w:lang w:bidi="ar"/>
        </w:rPr>
        <w:t>人应财务状况良好，提供会计师事务所出具的上一年度或上一季度财务审计报告，至少包括“资产负债表、利润表、现金流量表”；或者提供开户许可证和</w:t>
      </w:r>
      <w:r>
        <w:rPr>
          <w:rFonts w:hint="eastAsia" w:cs="宋体"/>
          <w:kern w:val="2"/>
          <w:highlight w:val="none"/>
          <w:lang w:val="en-US" w:eastAsia="zh-CN" w:bidi="ar"/>
        </w:rPr>
        <w:t>参</w:t>
      </w:r>
      <w:r>
        <w:rPr>
          <w:rFonts w:hint="eastAsia" w:cs="宋体"/>
          <w:kern w:val="2"/>
          <w:highlight w:val="none"/>
          <w:lang w:eastAsia="zh-CN" w:bidi="ar"/>
        </w:rPr>
        <w:t>选</w:t>
      </w:r>
      <w:r>
        <w:rPr>
          <w:rFonts w:hint="eastAsia" w:cs="宋体"/>
          <w:kern w:val="2"/>
          <w:highlight w:val="none"/>
          <w:lang w:bidi="ar"/>
        </w:rPr>
        <w:t>截止时间前六个月内基本开户银行出具的资信证明；</w:t>
      </w:r>
    </w:p>
    <w:p w14:paraId="7E59395F">
      <w:pPr>
        <w:pStyle w:val="27"/>
        <w:spacing w:before="75" w:beforeAutospacing="0" w:after="75" w:afterAutospacing="0"/>
        <w:rPr>
          <w:b/>
          <w:kern w:val="2"/>
          <w:highlight w:val="none"/>
        </w:rPr>
      </w:pPr>
      <w:r>
        <w:rPr>
          <w:rFonts w:hint="eastAsia" w:cs="宋体"/>
          <w:b/>
          <w:kern w:val="2"/>
          <w:highlight w:val="none"/>
          <w:lang w:eastAsia="zh-CN" w:bidi="ar"/>
        </w:rPr>
        <w:t>4.</w:t>
      </w:r>
      <w:r>
        <w:rPr>
          <w:rFonts w:hint="eastAsia" w:cs="宋体"/>
          <w:b/>
          <w:kern w:val="2"/>
          <w:highlight w:val="none"/>
          <w:lang w:bidi="ar"/>
        </w:rPr>
        <w:t>依法缴纳税收证明材料</w:t>
      </w:r>
    </w:p>
    <w:p w14:paraId="3B4C307B">
      <w:pPr>
        <w:pStyle w:val="27"/>
        <w:spacing w:before="75" w:beforeAutospacing="0" w:after="75" w:afterAutospacing="0" w:line="360" w:lineRule="auto"/>
        <w:ind w:firstLine="480" w:firstLineChars="200"/>
        <w:rPr>
          <w:kern w:val="2"/>
          <w:highlight w:val="none"/>
        </w:rPr>
      </w:pPr>
      <w:r>
        <w:rPr>
          <w:rFonts w:hint="eastAsia" w:cs="宋体"/>
          <w:kern w:val="2"/>
          <w:highlight w:val="none"/>
          <w:lang w:val="en-US" w:eastAsia="zh-CN" w:bidi="ar"/>
        </w:rPr>
        <w:t>参</w:t>
      </w:r>
      <w:r>
        <w:rPr>
          <w:rFonts w:hint="eastAsia" w:cs="宋体"/>
          <w:kern w:val="2"/>
          <w:highlight w:val="none"/>
          <w:lang w:eastAsia="zh-CN" w:bidi="ar"/>
        </w:rPr>
        <w:t>选</w:t>
      </w:r>
      <w:r>
        <w:rPr>
          <w:rFonts w:hint="eastAsia" w:cs="宋体"/>
          <w:kern w:val="2"/>
          <w:highlight w:val="none"/>
          <w:lang w:bidi="ar"/>
        </w:rPr>
        <w:t>人应依法纳税，提供</w:t>
      </w:r>
      <w:r>
        <w:rPr>
          <w:rFonts w:hint="eastAsia" w:cs="宋体"/>
          <w:kern w:val="2"/>
          <w:highlight w:val="none"/>
          <w:lang w:val="en-US" w:eastAsia="zh-CN" w:bidi="ar"/>
        </w:rPr>
        <w:t>参</w:t>
      </w:r>
      <w:r>
        <w:rPr>
          <w:rFonts w:hint="eastAsia" w:cs="宋体"/>
          <w:kern w:val="2"/>
          <w:highlight w:val="none"/>
          <w:lang w:eastAsia="zh-CN" w:bidi="ar"/>
        </w:rPr>
        <w:t>选</w:t>
      </w:r>
      <w:r>
        <w:rPr>
          <w:rFonts w:hint="eastAsia" w:cs="宋体"/>
          <w:kern w:val="2"/>
          <w:highlight w:val="none"/>
          <w:lang w:bidi="ar"/>
        </w:rPr>
        <w:t>截止时间前六个月任一个月的依法缴纳税收的凭据；或者提供依法免税的相应证明文件。</w:t>
      </w:r>
    </w:p>
    <w:p w14:paraId="1153E2A4">
      <w:pPr>
        <w:pStyle w:val="27"/>
        <w:spacing w:before="75" w:beforeAutospacing="0" w:after="75" w:afterAutospacing="0"/>
        <w:rPr>
          <w:rFonts w:cs="宋体"/>
          <w:b/>
          <w:bCs/>
          <w:highlight w:val="none"/>
        </w:rPr>
      </w:pPr>
      <w:r>
        <w:rPr>
          <w:rFonts w:hint="eastAsia" w:cs="宋体"/>
          <w:kern w:val="2"/>
          <w:highlight w:val="none"/>
          <w:lang w:eastAsia="zh-CN" w:bidi="ar"/>
        </w:rPr>
        <w:t>5.</w:t>
      </w:r>
      <w:r>
        <w:rPr>
          <w:rStyle w:val="59"/>
          <w:rFonts w:hint="eastAsia" w:cs="宋体"/>
          <w:highlight w:val="none"/>
          <w:lang w:bidi="ar"/>
        </w:rPr>
        <w:t>信用记录查询结果</w:t>
      </w:r>
    </w:p>
    <w:p w14:paraId="5EC889AC">
      <w:pPr>
        <w:pStyle w:val="27"/>
        <w:spacing w:before="0" w:beforeAutospacing="0" w:after="0" w:afterAutospacing="0" w:line="360" w:lineRule="auto"/>
        <w:ind w:firstLine="480" w:firstLineChars="200"/>
        <w:rPr>
          <w:rFonts w:cs="宋体"/>
          <w:kern w:val="2"/>
          <w:highlight w:val="none"/>
          <w:lang w:bidi="ar"/>
        </w:rPr>
      </w:pPr>
      <w:r>
        <w:rPr>
          <w:rFonts w:hint="eastAsia" w:cs="宋体"/>
          <w:kern w:val="2"/>
          <w:highlight w:val="none"/>
          <w:lang w:val="en-US" w:eastAsia="zh-CN" w:bidi="ar"/>
        </w:rPr>
        <w:t>参</w:t>
      </w:r>
      <w:r>
        <w:rPr>
          <w:rFonts w:hint="eastAsia" w:cs="宋体"/>
          <w:kern w:val="2"/>
          <w:highlight w:val="none"/>
          <w:lang w:eastAsia="zh-CN" w:bidi="ar"/>
        </w:rPr>
        <w:t>选</w:t>
      </w:r>
      <w:r>
        <w:rPr>
          <w:rFonts w:hint="eastAsia" w:cs="宋体"/>
          <w:kern w:val="2"/>
          <w:highlight w:val="none"/>
          <w:lang w:bidi="ar"/>
        </w:rPr>
        <w:t>人应在递交响应性文件的截止时点前分别通过“信用中国”网站（http://www.creditchina.gov.cn）、国家企业信用信息公示系统（http://www.gsxt.gov.cn）查询并打印相应的信用记录，</w:t>
      </w:r>
      <w:r>
        <w:rPr>
          <w:rFonts w:hint="eastAsia" w:cs="宋体"/>
          <w:kern w:val="2"/>
          <w:highlight w:val="none"/>
          <w:lang w:val="en-US" w:eastAsia="zh-CN" w:bidi="ar"/>
        </w:rPr>
        <w:t>参</w:t>
      </w:r>
      <w:r>
        <w:rPr>
          <w:rFonts w:hint="eastAsia" w:cs="宋体"/>
          <w:kern w:val="2"/>
          <w:highlight w:val="none"/>
          <w:lang w:eastAsia="zh-CN" w:bidi="ar"/>
        </w:rPr>
        <w:t>选</w:t>
      </w:r>
      <w:r>
        <w:rPr>
          <w:rFonts w:hint="eastAsia" w:cs="宋体"/>
          <w:kern w:val="2"/>
          <w:highlight w:val="none"/>
          <w:lang w:bidi="ar"/>
        </w:rPr>
        <w:t>人提供的查询结果应为其通过上述网站获取的信用信息查询结果原始页面的打印件（或截图）。</w:t>
      </w:r>
    </w:p>
    <w:p w14:paraId="79C05A04">
      <w:pPr>
        <w:pStyle w:val="27"/>
        <w:spacing w:before="0" w:beforeAutospacing="0" w:after="0" w:afterAutospacing="0" w:line="360" w:lineRule="auto"/>
        <w:ind w:firstLine="480" w:firstLineChars="200"/>
        <w:rPr>
          <w:rFonts w:cs="宋体"/>
          <w:kern w:val="2"/>
          <w:highlight w:val="none"/>
          <w:lang w:bidi="ar"/>
        </w:rPr>
      </w:pPr>
    </w:p>
    <w:p w14:paraId="2EBE3E5E">
      <w:pPr>
        <w:pStyle w:val="27"/>
        <w:spacing w:before="0" w:beforeAutospacing="0" w:after="0" w:afterAutospacing="0" w:line="360" w:lineRule="auto"/>
        <w:ind w:firstLine="480" w:firstLineChars="200"/>
        <w:rPr>
          <w:rFonts w:cs="宋体"/>
          <w:kern w:val="2"/>
          <w:highlight w:val="none"/>
          <w:lang w:bidi="ar"/>
        </w:rPr>
      </w:pPr>
    </w:p>
    <w:p w14:paraId="4CC288A9">
      <w:pPr>
        <w:pStyle w:val="27"/>
        <w:spacing w:before="0" w:beforeAutospacing="0" w:after="0" w:afterAutospacing="0" w:line="360" w:lineRule="auto"/>
        <w:ind w:firstLine="480" w:firstLineChars="200"/>
        <w:rPr>
          <w:rFonts w:cs="宋体"/>
          <w:kern w:val="2"/>
          <w:highlight w:val="none"/>
          <w:lang w:bidi="ar"/>
        </w:rPr>
      </w:pPr>
    </w:p>
    <w:p w14:paraId="76CC10BD">
      <w:pPr>
        <w:pStyle w:val="27"/>
        <w:spacing w:before="0" w:beforeAutospacing="0" w:after="0" w:afterAutospacing="0" w:line="360" w:lineRule="auto"/>
        <w:ind w:firstLine="480" w:firstLineChars="200"/>
        <w:rPr>
          <w:rFonts w:cs="宋体"/>
          <w:kern w:val="2"/>
          <w:highlight w:val="none"/>
          <w:lang w:bidi="ar"/>
        </w:rPr>
      </w:pPr>
    </w:p>
    <w:p w14:paraId="0B36EBF4">
      <w:pPr>
        <w:pStyle w:val="27"/>
        <w:spacing w:before="0" w:beforeAutospacing="0" w:after="0" w:afterAutospacing="0" w:line="360" w:lineRule="auto"/>
        <w:ind w:firstLine="480" w:firstLineChars="200"/>
        <w:rPr>
          <w:rFonts w:cs="宋体"/>
          <w:kern w:val="2"/>
          <w:highlight w:val="none"/>
          <w:lang w:bidi="ar"/>
        </w:rPr>
      </w:pPr>
    </w:p>
    <w:p w14:paraId="5B676D83">
      <w:pPr>
        <w:pStyle w:val="27"/>
        <w:spacing w:before="0" w:beforeAutospacing="0" w:after="0" w:afterAutospacing="0" w:line="360" w:lineRule="auto"/>
        <w:ind w:firstLine="480" w:firstLineChars="200"/>
        <w:rPr>
          <w:rFonts w:cs="宋体"/>
          <w:kern w:val="2"/>
          <w:highlight w:val="none"/>
          <w:lang w:bidi="ar"/>
        </w:rPr>
      </w:pPr>
    </w:p>
    <w:p w14:paraId="03E9252B">
      <w:pPr>
        <w:pStyle w:val="27"/>
        <w:spacing w:before="0" w:beforeAutospacing="0" w:after="0" w:afterAutospacing="0" w:line="360" w:lineRule="auto"/>
        <w:ind w:firstLine="480" w:firstLineChars="200"/>
        <w:rPr>
          <w:rFonts w:cs="宋体"/>
          <w:kern w:val="2"/>
          <w:highlight w:val="none"/>
          <w:lang w:bidi="ar"/>
        </w:rPr>
      </w:pPr>
    </w:p>
    <w:p w14:paraId="20FDC26F">
      <w:pPr>
        <w:pStyle w:val="27"/>
        <w:spacing w:before="0" w:beforeAutospacing="0" w:after="0" w:afterAutospacing="0" w:line="360" w:lineRule="auto"/>
        <w:ind w:firstLine="480" w:firstLineChars="200"/>
        <w:rPr>
          <w:rFonts w:cs="宋体"/>
          <w:kern w:val="2"/>
          <w:highlight w:val="none"/>
          <w:lang w:bidi="ar"/>
        </w:rPr>
      </w:pPr>
    </w:p>
    <w:p w14:paraId="03668793">
      <w:pPr>
        <w:pStyle w:val="27"/>
        <w:spacing w:before="0" w:beforeAutospacing="0" w:after="0" w:afterAutospacing="0" w:line="360" w:lineRule="auto"/>
        <w:ind w:firstLine="480" w:firstLineChars="200"/>
        <w:rPr>
          <w:rFonts w:cs="宋体"/>
          <w:kern w:val="2"/>
          <w:highlight w:val="none"/>
          <w:lang w:bidi="ar"/>
        </w:rPr>
      </w:pPr>
    </w:p>
    <w:p w14:paraId="133D90D5">
      <w:pPr>
        <w:pStyle w:val="27"/>
        <w:spacing w:before="0" w:beforeAutospacing="0" w:after="0" w:afterAutospacing="0" w:line="360" w:lineRule="auto"/>
        <w:ind w:firstLine="480" w:firstLineChars="200"/>
        <w:rPr>
          <w:rFonts w:cs="宋体"/>
          <w:kern w:val="2"/>
          <w:highlight w:val="none"/>
          <w:lang w:bidi="ar"/>
        </w:rPr>
      </w:pPr>
    </w:p>
    <w:p w14:paraId="5A0CF553">
      <w:pPr>
        <w:pStyle w:val="27"/>
        <w:spacing w:before="0" w:beforeAutospacing="0" w:after="0" w:afterAutospacing="0" w:line="360" w:lineRule="auto"/>
        <w:ind w:firstLine="480" w:firstLineChars="200"/>
        <w:rPr>
          <w:rFonts w:cs="宋体"/>
          <w:kern w:val="2"/>
          <w:highlight w:val="none"/>
          <w:lang w:bidi="ar"/>
        </w:rPr>
      </w:pPr>
    </w:p>
    <w:p w14:paraId="176CD95B">
      <w:pPr>
        <w:pStyle w:val="27"/>
        <w:spacing w:before="0" w:beforeAutospacing="0" w:after="0" w:afterAutospacing="0" w:line="360" w:lineRule="auto"/>
        <w:ind w:firstLine="480" w:firstLineChars="200"/>
        <w:rPr>
          <w:rFonts w:cs="宋体"/>
          <w:kern w:val="2"/>
          <w:highlight w:val="none"/>
          <w:lang w:bidi="ar"/>
        </w:rPr>
      </w:pPr>
    </w:p>
    <w:p w14:paraId="40261BC8">
      <w:pPr>
        <w:pStyle w:val="27"/>
        <w:spacing w:before="0" w:beforeAutospacing="0" w:after="0" w:afterAutospacing="0" w:line="360" w:lineRule="auto"/>
        <w:ind w:firstLine="480" w:firstLineChars="200"/>
        <w:rPr>
          <w:rFonts w:cs="宋体"/>
          <w:kern w:val="2"/>
          <w:highlight w:val="none"/>
          <w:lang w:bidi="ar"/>
        </w:rPr>
      </w:pPr>
    </w:p>
    <w:p w14:paraId="00D6CA72">
      <w:pPr>
        <w:pStyle w:val="27"/>
        <w:spacing w:before="0" w:beforeAutospacing="0" w:after="0" w:afterAutospacing="0" w:line="360" w:lineRule="auto"/>
        <w:ind w:firstLine="480" w:firstLineChars="200"/>
        <w:rPr>
          <w:rFonts w:cs="宋体"/>
          <w:kern w:val="2"/>
          <w:highlight w:val="none"/>
          <w:lang w:bidi="ar"/>
        </w:rPr>
      </w:pPr>
    </w:p>
    <w:p w14:paraId="2A2755AA">
      <w:pPr>
        <w:pStyle w:val="27"/>
        <w:spacing w:before="0" w:beforeAutospacing="0" w:after="0" w:afterAutospacing="0" w:line="360" w:lineRule="auto"/>
        <w:ind w:firstLine="480" w:firstLineChars="200"/>
        <w:rPr>
          <w:rFonts w:cs="宋体"/>
          <w:kern w:val="2"/>
          <w:highlight w:val="none"/>
          <w:lang w:bidi="ar"/>
        </w:rPr>
      </w:pPr>
    </w:p>
    <w:p w14:paraId="3EDB426D">
      <w:pPr>
        <w:pStyle w:val="27"/>
        <w:spacing w:before="0" w:beforeAutospacing="0" w:after="0" w:afterAutospacing="0" w:line="360" w:lineRule="auto"/>
        <w:rPr>
          <w:kern w:val="2"/>
          <w:highlight w:val="none"/>
        </w:rPr>
      </w:pPr>
    </w:p>
    <w:p w14:paraId="55359AD2">
      <w:pPr>
        <w:pStyle w:val="27"/>
        <w:pageBreakBefore/>
        <w:spacing w:before="75" w:beforeAutospacing="0" w:after="75" w:afterAutospacing="0"/>
        <w:rPr>
          <w:b/>
          <w:bCs/>
          <w:kern w:val="2"/>
          <w:highlight w:val="none"/>
        </w:rPr>
      </w:pPr>
      <w:r>
        <w:rPr>
          <w:rFonts w:hint="eastAsia" w:cs="宋体"/>
          <w:b/>
          <w:bCs/>
          <w:kern w:val="2"/>
          <w:highlight w:val="none"/>
          <w:lang w:eastAsia="zh-CN" w:bidi="ar"/>
        </w:rPr>
        <w:t>6.</w:t>
      </w:r>
      <w:r>
        <w:rPr>
          <w:rFonts w:hint="eastAsia" w:cs="宋体"/>
          <w:b/>
          <w:bCs/>
          <w:kern w:val="2"/>
          <w:highlight w:val="none"/>
          <w:lang w:bidi="ar"/>
        </w:rPr>
        <w:t>参加采购活动前三年内在经营活动中没有重大违法记录书面声明</w:t>
      </w:r>
    </w:p>
    <w:p w14:paraId="76BDBCBD">
      <w:pPr>
        <w:pStyle w:val="27"/>
        <w:spacing w:before="75" w:beforeAutospacing="0" w:after="75" w:afterAutospacing="0"/>
        <w:rPr>
          <w:kern w:val="2"/>
          <w:highlight w:val="none"/>
        </w:rPr>
      </w:pPr>
      <w:r>
        <w:rPr>
          <w:rFonts w:hint="eastAsia" w:cs="宋体"/>
          <w:highlight w:val="none"/>
          <w:lang w:bidi="ar"/>
        </w:rPr>
        <w:t xml:space="preserve"> </w:t>
      </w:r>
      <w:r>
        <w:rPr>
          <w:rFonts w:hint="eastAsia" w:cs="宋体"/>
          <w:kern w:val="2"/>
          <w:highlight w:val="none"/>
          <w:lang w:bidi="ar"/>
        </w:rPr>
        <w:t>致</w:t>
      </w:r>
      <w:r>
        <w:rPr>
          <w:rFonts w:hint="eastAsia" w:cs="宋体"/>
          <w:kern w:val="2"/>
          <w:highlight w:val="none"/>
          <w:u w:val="single"/>
          <w:lang w:bidi="ar"/>
        </w:rPr>
        <w:t>：福建省水利水电工程局有限公司</w:t>
      </w:r>
      <w:r>
        <w:rPr>
          <w:rFonts w:hint="eastAsia" w:cs="宋体"/>
          <w:kern w:val="2"/>
          <w:highlight w:val="none"/>
          <w:u w:val="single"/>
          <w:lang w:eastAsia="zh-CN" w:bidi="ar"/>
        </w:rPr>
        <w:t>（</w:t>
      </w:r>
      <w:r>
        <w:rPr>
          <w:rFonts w:hint="eastAsia" w:cs="宋体"/>
          <w:kern w:val="2"/>
          <w:highlight w:val="none"/>
          <w:u w:val="single"/>
          <w:lang w:val="en-US" w:eastAsia="zh-CN" w:bidi="ar"/>
        </w:rPr>
        <w:t>招选</w:t>
      </w:r>
      <w:r>
        <w:rPr>
          <w:rFonts w:hint="eastAsia" w:cs="宋体"/>
          <w:kern w:val="2"/>
          <w:highlight w:val="none"/>
          <w:u w:val="single"/>
          <w:lang w:bidi="ar"/>
        </w:rPr>
        <w:t>人</w:t>
      </w:r>
      <w:r>
        <w:rPr>
          <w:rFonts w:hint="eastAsia" w:cs="宋体"/>
          <w:kern w:val="2"/>
          <w:highlight w:val="none"/>
          <w:u w:val="single"/>
          <w:lang w:eastAsia="zh-CN" w:bidi="ar"/>
        </w:rPr>
        <w:t>）</w:t>
      </w:r>
      <w:r>
        <w:rPr>
          <w:rFonts w:hint="eastAsia" w:cs="宋体"/>
          <w:kern w:val="2"/>
          <w:highlight w:val="none"/>
          <w:u w:val="single"/>
          <w:lang w:bidi="ar"/>
        </w:rPr>
        <w:t xml:space="preserve"> </w:t>
      </w:r>
      <w:r>
        <w:rPr>
          <w:rFonts w:hint="eastAsia" w:cs="宋体"/>
          <w:kern w:val="2"/>
          <w:highlight w:val="none"/>
          <w:lang w:bidi="ar"/>
        </w:rPr>
        <w:t xml:space="preserve">      </w:t>
      </w:r>
    </w:p>
    <w:p w14:paraId="569E6376">
      <w:pPr>
        <w:pStyle w:val="27"/>
        <w:spacing w:before="75" w:beforeAutospacing="0" w:after="75" w:afterAutospacing="0"/>
        <w:ind w:firstLine="480" w:firstLineChars="200"/>
        <w:rPr>
          <w:kern w:val="2"/>
          <w:highlight w:val="none"/>
        </w:rPr>
      </w:pPr>
      <w:r>
        <w:rPr>
          <w:rFonts w:hint="eastAsia" w:cs="宋体"/>
          <w:kern w:val="2"/>
          <w:highlight w:val="none"/>
          <w:lang w:bidi="ar"/>
        </w:rPr>
        <w:t>参加采购活动前三年内，我方在经营活动中没有重大违法记录，也无行贿犯罪记录。</w:t>
      </w:r>
    </w:p>
    <w:p w14:paraId="6AA7EFC4">
      <w:pPr>
        <w:pStyle w:val="27"/>
        <w:spacing w:before="75" w:beforeAutospacing="0" w:after="75" w:afterAutospacing="0"/>
        <w:ind w:firstLine="480"/>
        <w:rPr>
          <w:kern w:val="2"/>
          <w:highlight w:val="none"/>
        </w:rPr>
      </w:pPr>
      <w:r>
        <w:rPr>
          <w:rFonts w:hint="eastAsia" w:cs="宋体"/>
          <w:kern w:val="2"/>
          <w:highlight w:val="none"/>
          <w:lang w:bidi="ar"/>
        </w:rPr>
        <w:t>特此声明。</w:t>
      </w:r>
    </w:p>
    <w:p w14:paraId="0676C5E0">
      <w:pPr>
        <w:pStyle w:val="27"/>
        <w:spacing w:before="75" w:beforeAutospacing="0" w:after="75" w:afterAutospacing="0"/>
        <w:rPr>
          <w:kern w:val="2"/>
          <w:highlight w:val="none"/>
        </w:rPr>
      </w:pPr>
      <w:r>
        <w:rPr>
          <w:rFonts w:hint="eastAsia" w:cs="宋体"/>
          <w:kern w:val="2"/>
          <w:highlight w:val="none"/>
          <w:lang w:bidi="ar"/>
        </w:rPr>
        <w:t xml:space="preserve"> </w:t>
      </w:r>
    </w:p>
    <w:p w14:paraId="2E6C5FF6">
      <w:pPr>
        <w:pStyle w:val="27"/>
        <w:spacing w:before="75" w:beforeAutospacing="0" w:after="75" w:afterAutospacing="0"/>
        <w:rPr>
          <w:kern w:val="2"/>
          <w:highlight w:val="none"/>
        </w:rPr>
      </w:pPr>
      <w:r>
        <w:rPr>
          <w:rFonts w:hint="eastAsia" w:cs="宋体"/>
          <w:kern w:val="2"/>
          <w:highlight w:val="none"/>
          <w:lang w:bidi="ar"/>
        </w:rPr>
        <w:t>★注意：</w:t>
      </w:r>
    </w:p>
    <w:p w14:paraId="2AEA2BA6">
      <w:pPr>
        <w:pStyle w:val="27"/>
        <w:spacing w:before="75" w:beforeAutospacing="0" w:after="75" w:afterAutospacing="0" w:line="360" w:lineRule="auto"/>
        <w:rPr>
          <w:kern w:val="2"/>
          <w:highlight w:val="none"/>
        </w:rPr>
      </w:pPr>
      <w:r>
        <w:rPr>
          <w:rFonts w:hint="eastAsia" w:cs="宋体"/>
          <w:kern w:val="2"/>
          <w:highlight w:val="none"/>
          <w:lang w:eastAsia="zh-CN" w:bidi="ar"/>
        </w:rPr>
        <w:t>1.</w:t>
      </w:r>
      <w:r>
        <w:rPr>
          <w:rFonts w:hint="eastAsia" w:cs="宋体"/>
          <w:kern w:val="2"/>
          <w:highlight w:val="none"/>
          <w:lang w:bidi="ar"/>
        </w:rPr>
        <w:t>“重大违法记录”指供应商因违法经营受到刑事处罚或责令停产停业、吊销许可证或执照、较大数额罚款等行政处罚。</w:t>
      </w:r>
    </w:p>
    <w:p w14:paraId="48AF633E">
      <w:pPr>
        <w:pStyle w:val="27"/>
        <w:spacing w:before="75" w:beforeAutospacing="0" w:after="75" w:afterAutospacing="0" w:line="360" w:lineRule="auto"/>
        <w:rPr>
          <w:kern w:val="2"/>
          <w:highlight w:val="none"/>
        </w:rPr>
      </w:pPr>
      <w:r>
        <w:rPr>
          <w:rFonts w:hint="eastAsia" w:cs="宋体"/>
          <w:kern w:val="2"/>
          <w:highlight w:val="none"/>
          <w:lang w:eastAsia="zh-CN" w:bidi="ar"/>
        </w:rPr>
        <w:t>2.</w:t>
      </w:r>
      <w:r>
        <w:rPr>
          <w:rFonts w:hint="eastAsia" w:cs="宋体"/>
          <w:kern w:val="2"/>
          <w:highlight w:val="none"/>
          <w:lang w:bidi="ar"/>
        </w:rPr>
        <w:t>请供应商根据实际情况进行声明，若声明不真实，视为提供虚假材料。</w:t>
      </w:r>
    </w:p>
    <w:p w14:paraId="26BE704A">
      <w:pPr>
        <w:pStyle w:val="27"/>
        <w:spacing w:before="75" w:beforeAutospacing="0" w:after="75" w:afterAutospacing="0"/>
        <w:rPr>
          <w:kern w:val="2"/>
          <w:highlight w:val="none"/>
        </w:rPr>
      </w:pPr>
      <w:r>
        <w:rPr>
          <w:rFonts w:hint="eastAsia" w:cs="宋体"/>
          <w:kern w:val="2"/>
          <w:highlight w:val="none"/>
          <w:lang w:bidi="ar"/>
        </w:rPr>
        <w:t xml:space="preserve"> </w:t>
      </w:r>
    </w:p>
    <w:p w14:paraId="230969C3">
      <w:pPr>
        <w:pStyle w:val="27"/>
        <w:spacing w:before="75" w:beforeAutospacing="0" w:after="75" w:afterAutospacing="0"/>
        <w:rPr>
          <w:rFonts w:cs="宋体"/>
          <w:kern w:val="2"/>
          <w:highlight w:val="none"/>
          <w:lang w:bidi="ar"/>
        </w:rPr>
      </w:pPr>
      <w:r>
        <w:rPr>
          <w:rFonts w:hint="eastAsia" w:cs="宋体"/>
          <w:kern w:val="2"/>
          <w:highlight w:val="none"/>
          <w:lang w:bidi="ar"/>
        </w:rPr>
        <w:t xml:space="preserve"> </w:t>
      </w:r>
    </w:p>
    <w:p w14:paraId="46BFE095">
      <w:pPr>
        <w:pStyle w:val="27"/>
        <w:spacing w:before="75" w:beforeAutospacing="0" w:after="75" w:afterAutospacing="0"/>
        <w:rPr>
          <w:rFonts w:cs="宋体"/>
          <w:kern w:val="2"/>
          <w:highlight w:val="none"/>
          <w:lang w:bidi="ar"/>
        </w:rPr>
      </w:pPr>
    </w:p>
    <w:p w14:paraId="7EDF0AF6">
      <w:pPr>
        <w:pStyle w:val="27"/>
        <w:spacing w:before="75" w:beforeAutospacing="0" w:after="75" w:afterAutospacing="0"/>
        <w:rPr>
          <w:kern w:val="2"/>
          <w:highlight w:val="none"/>
        </w:rPr>
      </w:pPr>
    </w:p>
    <w:p w14:paraId="397B7575">
      <w:pPr>
        <w:spacing w:line="440" w:lineRule="exact"/>
        <w:ind w:firstLine="4200" w:firstLineChars="1750"/>
        <w:rPr>
          <w:rFonts w:ascii="宋体" w:hAnsi="宋体" w:cs="宋体"/>
          <w:sz w:val="24"/>
          <w:highlight w:val="none"/>
        </w:rPr>
      </w:pPr>
      <w:r>
        <w:rPr>
          <w:rFonts w:hint="eastAsia" w:ascii="宋体" w:hAnsi="宋体" w:cs="宋体"/>
          <w:sz w:val="24"/>
          <w:highlight w:val="none"/>
          <w:lang w:val="en-US" w:eastAsia="zh-CN" w:bidi="ar"/>
        </w:rPr>
        <w:t>参选</w:t>
      </w:r>
      <w:r>
        <w:rPr>
          <w:rFonts w:hint="eastAsia" w:ascii="宋体" w:hAnsi="宋体" w:cs="宋体"/>
          <w:sz w:val="24"/>
          <w:highlight w:val="none"/>
          <w:lang w:bidi="ar"/>
        </w:rPr>
        <w:t xml:space="preserve">人名称：（盖单位公章）  </w:t>
      </w:r>
    </w:p>
    <w:p w14:paraId="52F3470A">
      <w:pPr>
        <w:spacing w:line="440" w:lineRule="exact"/>
        <w:ind w:firstLine="4200" w:firstLineChars="1750"/>
        <w:rPr>
          <w:rFonts w:ascii="宋体" w:hAnsi="宋体" w:cs="宋体"/>
          <w:sz w:val="24"/>
          <w:highlight w:val="none"/>
        </w:rPr>
      </w:pPr>
      <w:r>
        <w:rPr>
          <w:rFonts w:hint="eastAsia" w:ascii="宋体" w:hAnsi="宋体" w:cs="宋体"/>
          <w:sz w:val="24"/>
          <w:highlight w:val="none"/>
          <w:lang w:bidi="ar"/>
        </w:rPr>
        <w:t>法定代表人或其委托代理人：       （签字）</w:t>
      </w:r>
    </w:p>
    <w:p w14:paraId="41924E3F">
      <w:pPr>
        <w:spacing w:line="440" w:lineRule="exact"/>
        <w:rPr>
          <w:rFonts w:ascii="宋体" w:hAnsi="宋体" w:cs="宋体"/>
          <w:sz w:val="24"/>
          <w:highlight w:val="none"/>
        </w:rPr>
      </w:pP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softHyphen/>
      </w:r>
      <w:r>
        <w:rPr>
          <w:rFonts w:hint="eastAsia" w:ascii="宋体" w:hAnsi="宋体" w:cs="宋体"/>
          <w:sz w:val="24"/>
          <w:highlight w:val="none"/>
          <w:lang w:bidi="ar"/>
        </w:rPr>
        <w:t xml:space="preserve">                                   日期：     年    月    日</w:t>
      </w:r>
    </w:p>
    <w:p w14:paraId="659E76C2">
      <w:pPr>
        <w:pStyle w:val="27"/>
        <w:widowControl w:val="0"/>
        <w:spacing w:before="0" w:beforeAutospacing="0" w:after="0" w:afterAutospacing="0"/>
        <w:ind w:firstLine="560" w:firstLineChars="200"/>
        <w:jc w:val="both"/>
        <w:rPr>
          <w:rFonts w:cs="宋体"/>
          <w:kern w:val="2"/>
          <w:sz w:val="28"/>
          <w:szCs w:val="28"/>
          <w:highlight w:val="none"/>
          <w:lang w:bidi="ar"/>
        </w:rPr>
      </w:pPr>
      <w:r>
        <w:rPr>
          <w:rFonts w:hint="eastAsia" w:cs="宋体"/>
          <w:kern w:val="2"/>
          <w:sz w:val="28"/>
          <w:szCs w:val="28"/>
          <w:highlight w:val="none"/>
          <w:lang w:bidi="ar"/>
        </w:rPr>
        <w:t xml:space="preserve"> </w:t>
      </w:r>
    </w:p>
    <w:p w14:paraId="6FAD77F4">
      <w:pPr>
        <w:pStyle w:val="27"/>
        <w:widowControl w:val="0"/>
        <w:spacing w:before="0" w:beforeAutospacing="0" w:after="0" w:afterAutospacing="0"/>
        <w:ind w:firstLine="560" w:firstLineChars="200"/>
        <w:jc w:val="both"/>
        <w:rPr>
          <w:rFonts w:cs="宋体"/>
          <w:kern w:val="2"/>
          <w:sz w:val="28"/>
          <w:szCs w:val="28"/>
          <w:highlight w:val="none"/>
        </w:rPr>
      </w:pPr>
    </w:p>
    <w:p w14:paraId="0EB50752">
      <w:pPr>
        <w:pageBreakBefore/>
        <w:widowControl/>
        <w:spacing w:before="100" w:beforeAutospacing="1" w:after="100" w:afterAutospacing="1" w:line="450" w:lineRule="atLeast"/>
        <w:ind w:right="482"/>
        <w:jc w:val="center"/>
        <w:outlineLvl w:val="1"/>
        <w:rPr>
          <w:rFonts w:ascii="宋体" w:hAnsi="宋体" w:cs="宋体"/>
          <w:b/>
          <w:color w:val="auto"/>
          <w:sz w:val="32"/>
          <w:szCs w:val="32"/>
          <w:highlight w:val="none"/>
          <w:lang w:bidi="ar"/>
        </w:rPr>
      </w:pPr>
      <w:bookmarkStart w:id="609" w:name="_Toc109888286"/>
      <w:bookmarkStart w:id="610" w:name="_Toc120110864"/>
      <w:bookmarkStart w:id="611" w:name="_Toc82589585"/>
      <w:r>
        <w:rPr>
          <w:rFonts w:hint="eastAsia" w:ascii="宋体" w:hAnsi="宋体" w:cs="宋体"/>
          <w:b/>
          <w:color w:val="auto"/>
          <w:sz w:val="32"/>
          <w:szCs w:val="32"/>
          <w:lang w:bidi="ar"/>
        </w:rPr>
        <w:t>五</w:t>
      </w:r>
      <w:r>
        <w:rPr>
          <w:rFonts w:hint="eastAsia" w:ascii="宋体" w:hAnsi="宋体" w:cs="宋体"/>
          <w:b/>
          <w:color w:val="auto"/>
          <w:sz w:val="32"/>
          <w:szCs w:val="32"/>
          <w:highlight w:val="none"/>
          <w:lang w:bidi="ar"/>
        </w:rPr>
        <w:t>、</w:t>
      </w:r>
      <w:r>
        <w:rPr>
          <w:rFonts w:hint="eastAsia" w:ascii="宋体" w:hAnsi="宋体" w:cs="宋体"/>
          <w:b/>
          <w:color w:val="auto"/>
          <w:sz w:val="32"/>
          <w:szCs w:val="32"/>
          <w:highlight w:val="none"/>
          <w:lang w:val="en-US" w:eastAsia="zh-CN" w:bidi="ar"/>
        </w:rPr>
        <w:t>参选</w:t>
      </w:r>
      <w:r>
        <w:rPr>
          <w:rFonts w:hint="eastAsia" w:ascii="宋体" w:hAnsi="宋体" w:cs="宋体"/>
          <w:b/>
          <w:color w:val="auto"/>
          <w:sz w:val="32"/>
          <w:szCs w:val="32"/>
          <w:highlight w:val="none"/>
          <w:lang w:bidi="ar"/>
        </w:rPr>
        <w:t>承诺函</w:t>
      </w:r>
      <w:bookmarkEnd w:id="609"/>
      <w:bookmarkEnd w:id="610"/>
    </w:p>
    <w:p w14:paraId="77CD0231">
      <w:pPr>
        <w:spacing w:line="480" w:lineRule="exact"/>
        <w:rPr>
          <w:rFonts w:ascii="宋体" w:hAnsi="宋体"/>
          <w:b/>
          <w:bCs/>
          <w:color w:val="auto"/>
          <w:sz w:val="24"/>
          <w:szCs w:val="24"/>
          <w:highlight w:val="none"/>
        </w:rPr>
      </w:pPr>
      <w:r>
        <w:rPr>
          <w:rFonts w:hint="eastAsia" w:ascii="宋体" w:hAnsi="宋体"/>
          <w:b/>
          <w:bCs/>
          <w:color w:val="auto"/>
          <w:sz w:val="24"/>
          <w:szCs w:val="24"/>
          <w:highlight w:val="none"/>
        </w:rPr>
        <w:t>致：福建省水利水电工程局有限公司</w:t>
      </w:r>
    </w:p>
    <w:p w14:paraId="58E82F98">
      <w:pPr>
        <w:spacing w:line="480" w:lineRule="exact"/>
        <w:ind w:firstLine="645"/>
        <w:jc w:val="left"/>
        <w:rPr>
          <w:rFonts w:ascii="宋体" w:hAnsi="宋体" w:cs="宋体"/>
          <w:color w:val="auto"/>
          <w:sz w:val="24"/>
          <w:highlight w:val="none"/>
          <w:lang w:bidi="ar"/>
        </w:rPr>
      </w:pPr>
      <w:r>
        <w:rPr>
          <w:rFonts w:hint="eastAsia" w:ascii="宋体" w:hAnsi="宋体" w:cs="宋体"/>
          <w:color w:val="auto"/>
          <w:sz w:val="24"/>
          <w:highlight w:val="none"/>
          <w:lang w:val="en-US" w:eastAsia="zh-CN" w:bidi="ar"/>
        </w:rPr>
        <w:t>我方</w:t>
      </w:r>
      <w:r>
        <w:rPr>
          <w:rFonts w:hint="eastAsia" w:ascii="宋体" w:hAnsi="宋体" w:cs="宋体"/>
          <w:color w:val="auto"/>
          <w:sz w:val="24"/>
          <w:highlight w:val="none"/>
          <w:lang w:bidi="ar"/>
        </w:rPr>
        <w:t>已详细阅读了</w:t>
      </w:r>
      <w:r>
        <w:rPr>
          <w:rFonts w:hint="eastAsia" w:cs="宋体"/>
          <w:b/>
          <w:bCs/>
          <w:color w:val="auto"/>
          <w:kern w:val="21"/>
          <w:sz w:val="24"/>
          <w:szCs w:val="24"/>
          <w:highlight w:val="none"/>
          <w:u w:val="single"/>
          <w:lang w:bidi="ar"/>
        </w:rPr>
        <w:t>福建省水利水电工程局有限公司</w:t>
      </w:r>
      <w:r>
        <w:rPr>
          <w:rFonts w:hint="eastAsia" w:cs="宋体"/>
          <w:b/>
          <w:bCs/>
          <w:color w:val="auto"/>
          <w:sz w:val="24"/>
          <w:szCs w:val="24"/>
          <w:highlight w:val="none"/>
          <w:u w:val="single"/>
          <w:lang w:bidi="ar"/>
        </w:rPr>
        <w:t>漳州市东南沿海地区九龙江调水工程阀门类采购项目</w:t>
      </w:r>
      <w:r>
        <w:rPr>
          <w:rFonts w:hint="eastAsia" w:cs="宋体"/>
          <w:b/>
          <w:bCs/>
          <w:color w:val="auto"/>
          <w:sz w:val="24"/>
          <w:szCs w:val="24"/>
          <w:highlight w:val="none"/>
          <w:u w:val="single"/>
          <w:lang w:eastAsia="zh-CN" w:bidi="ar"/>
        </w:rPr>
        <w:t>（</w:t>
      </w:r>
      <w:r>
        <w:rPr>
          <w:rFonts w:hint="eastAsia" w:cs="宋体"/>
          <w:b/>
          <w:bCs/>
          <w:color w:val="auto"/>
          <w:sz w:val="24"/>
          <w:szCs w:val="24"/>
          <w:highlight w:val="none"/>
          <w:u w:val="single"/>
          <w:lang w:val="en-US" w:eastAsia="zh-CN" w:bidi="ar"/>
        </w:rPr>
        <w:t>重新招选</w:t>
      </w:r>
      <w:r>
        <w:rPr>
          <w:rFonts w:hint="eastAsia" w:cs="宋体"/>
          <w:b/>
          <w:bCs/>
          <w:color w:val="auto"/>
          <w:sz w:val="24"/>
          <w:szCs w:val="24"/>
          <w:highlight w:val="none"/>
          <w:u w:val="single"/>
          <w:lang w:eastAsia="zh-CN" w:bidi="ar"/>
        </w:rPr>
        <w:t>）</w:t>
      </w:r>
      <w:r>
        <w:rPr>
          <w:rFonts w:hint="eastAsia" w:ascii="宋体" w:hAnsi="宋体" w:cs="宋体"/>
          <w:color w:val="auto"/>
          <w:sz w:val="24"/>
          <w:highlight w:val="none"/>
          <w:lang w:bidi="ar"/>
        </w:rPr>
        <w:t>的招</w:t>
      </w:r>
      <w:r>
        <w:rPr>
          <w:rFonts w:hint="eastAsia" w:ascii="宋体" w:hAnsi="宋体" w:cs="宋体"/>
          <w:color w:val="auto"/>
          <w:sz w:val="24"/>
          <w:highlight w:val="none"/>
          <w:lang w:eastAsia="zh-CN" w:bidi="ar"/>
        </w:rPr>
        <w:t>选</w:t>
      </w:r>
      <w:r>
        <w:rPr>
          <w:rFonts w:hint="eastAsia" w:ascii="宋体" w:hAnsi="宋体" w:cs="宋体"/>
          <w:color w:val="auto"/>
          <w:sz w:val="24"/>
          <w:highlight w:val="none"/>
          <w:lang w:bidi="ar"/>
        </w:rPr>
        <w:t>文件，自愿接受招</w:t>
      </w:r>
      <w:r>
        <w:rPr>
          <w:rFonts w:hint="eastAsia" w:ascii="宋体" w:hAnsi="宋体" w:cs="宋体"/>
          <w:color w:val="auto"/>
          <w:sz w:val="24"/>
          <w:highlight w:val="none"/>
          <w:lang w:eastAsia="zh-CN" w:bidi="ar"/>
        </w:rPr>
        <w:t>选</w:t>
      </w:r>
      <w:r>
        <w:rPr>
          <w:rFonts w:hint="eastAsia" w:ascii="宋体" w:hAnsi="宋体" w:cs="宋体"/>
          <w:color w:val="auto"/>
          <w:sz w:val="24"/>
          <w:highlight w:val="none"/>
          <w:lang w:bidi="ar"/>
        </w:rPr>
        <w:t>文件的邀约条件，现就有关事项向招</w:t>
      </w:r>
      <w:r>
        <w:rPr>
          <w:rFonts w:hint="eastAsia" w:ascii="宋体" w:hAnsi="宋体" w:cs="宋体"/>
          <w:color w:val="auto"/>
          <w:sz w:val="24"/>
          <w:highlight w:val="none"/>
          <w:lang w:eastAsia="zh-CN" w:bidi="ar"/>
        </w:rPr>
        <w:t>选</w:t>
      </w:r>
      <w:r>
        <w:rPr>
          <w:rFonts w:hint="eastAsia" w:ascii="宋体" w:hAnsi="宋体" w:cs="宋体"/>
          <w:color w:val="auto"/>
          <w:sz w:val="24"/>
          <w:highlight w:val="none"/>
          <w:lang w:bidi="ar"/>
        </w:rPr>
        <w:t>人郑重承诺如下：</w:t>
      </w:r>
    </w:p>
    <w:p w14:paraId="7D736EB3">
      <w:pPr>
        <w:spacing w:line="480" w:lineRule="exact"/>
        <w:ind w:firstLine="645"/>
        <w:jc w:val="left"/>
        <w:rPr>
          <w:rFonts w:ascii="宋体" w:hAnsi="宋体" w:cs="宋体"/>
          <w:sz w:val="24"/>
          <w:lang w:bidi="ar"/>
        </w:rPr>
      </w:pPr>
      <w:r>
        <w:rPr>
          <w:rFonts w:hint="eastAsia" w:ascii="宋体" w:hAnsi="宋体" w:cs="宋体"/>
          <w:sz w:val="24"/>
          <w:lang w:bidi="ar"/>
        </w:rPr>
        <w:t>一、不提供有违真实的材料，保证</w:t>
      </w:r>
      <w:r>
        <w:rPr>
          <w:rFonts w:hint="eastAsia" w:ascii="宋体" w:hAnsi="宋体" w:cs="宋体"/>
          <w:sz w:val="24"/>
          <w:lang w:val="en-US" w:eastAsia="zh-CN" w:bidi="ar"/>
        </w:rPr>
        <w:t>参</w:t>
      </w:r>
      <w:r>
        <w:rPr>
          <w:rFonts w:hint="eastAsia" w:ascii="宋体" w:hAnsi="宋体" w:cs="宋体"/>
          <w:sz w:val="24"/>
          <w:lang w:eastAsia="zh-CN" w:bidi="ar"/>
        </w:rPr>
        <w:t>选</w:t>
      </w:r>
      <w:r>
        <w:rPr>
          <w:rFonts w:hint="eastAsia" w:ascii="宋体" w:hAnsi="宋体" w:cs="宋体"/>
          <w:sz w:val="24"/>
          <w:lang w:bidi="ar"/>
        </w:rPr>
        <w:t>文件内容无任何虚假。若中</w:t>
      </w:r>
      <w:r>
        <w:rPr>
          <w:rFonts w:hint="eastAsia" w:ascii="宋体" w:hAnsi="宋体" w:cs="宋体"/>
          <w:sz w:val="24"/>
          <w:lang w:eastAsia="zh-CN" w:bidi="ar"/>
        </w:rPr>
        <w:t>选</w:t>
      </w:r>
      <w:r>
        <w:rPr>
          <w:rFonts w:hint="eastAsia" w:ascii="宋体" w:hAnsi="宋体" w:cs="宋体"/>
          <w:sz w:val="24"/>
          <w:lang w:bidi="ar"/>
        </w:rPr>
        <w:t>之后查出有虚假，同意废除中</w:t>
      </w:r>
      <w:r>
        <w:rPr>
          <w:rFonts w:hint="eastAsia" w:ascii="宋体" w:hAnsi="宋体" w:cs="宋体"/>
          <w:sz w:val="24"/>
          <w:lang w:eastAsia="zh-CN" w:bidi="ar"/>
        </w:rPr>
        <w:t>选</w:t>
      </w:r>
      <w:r>
        <w:rPr>
          <w:rFonts w:hint="eastAsia" w:ascii="宋体" w:hAnsi="宋体" w:cs="宋体"/>
          <w:sz w:val="24"/>
          <w:lang w:bidi="ar"/>
        </w:rPr>
        <w:t>资格并被没收</w:t>
      </w:r>
      <w:r>
        <w:rPr>
          <w:rFonts w:hint="eastAsia" w:ascii="宋体" w:hAnsi="宋体" w:cs="宋体"/>
          <w:sz w:val="24"/>
          <w:lang w:val="en-US" w:eastAsia="zh-CN" w:bidi="ar"/>
        </w:rPr>
        <w:t>参选</w:t>
      </w:r>
      <w:r>
        <w:rPr>
          <w:rFonts w:hint="eastAsia" w:ascii="宋体" w:hAnsi="宋体" w:cs="宋体"/>
          <w:sz w:val="24"/>
          <w:lang w:bidi="ar"/>
        </w:rPr>
        <w:t>保证金。</w:t>
      </w:r>
    </w:p>
    <w:p w14:paraId="34D28592">
      <w:pPr>
        <w:spacing w:line="480" w:lineRule="exact"/>
        <w:rPr>
          <w:rFonts w:ascii="宋体" w:hAnsi="宋体" w:cs="宋体"/>
          <w:sz w:val="24"/>
          <w:lang w:bidi="ar"/>
        </w:rPr>
      </w:pPr>
      <w:r>
        <w:rPr>
          <w:rFonts w:hint="eastAsia" w:ascii="宋体" w:hAnsi="宋体" w:cs="宋体"/>
          <w:sz w:val="24"/>
          <w:lang w:bidi="ar"/>
        </w:rPr>
        <w:t>　　二、不在</w:t>
      </w:r>
      <w:r>
        <w:rPr>
          <w:rFonts w:hint="eastAsia" w:ascii="宋体" w:hAnsi="宋体" w:cs="宋体"/>
          <w:sz w:val="24"/>
          <w:lang w:val="en-US" w:eastAsia="zh-CN" w:bidi="ar"/>
        </w:rPr>
        <w:t>参</w:t>
      </w:r>
      <w:r>
        <w:rPr>
          <w:rFonts w:hint="eastAsia" w:ascii="宋体" w:hAnsi="宋体" w:cs="宋体"/>
          <w:sz w:val="24"/>
          <w:lang w:eastAsia="zh-CN" w:bidi="ar"/>
        </w:rPr>
        <w:t>选</w:t>
      </w:r>
      <w:r>
        <w:rPr>
          <w:rFonts w:hint="eastAsia" w:ascii="宋体" w:hAnsi="宋体" w:cs="宋体"/>
          <w:sz w:val="24"/>
          <w:lang w:bidi="ar"/>
        </w:rPr>
        <w:t>中哄抬价格，不与招</w:t>
      </w:r>
      <w:r>
        <w:rPr>
          <w:rFonts w:hint="eastAsia" w:ascii="宋体" w:hAnsi="宋体" w:cs="宋体"/>
          <w:sz w:val="24"/>
          <w:lang w:val="en-US" w:eastAsia="zh-CN" w:bidi="ar"/>
        </w:rPr>
        <w:t>选</w:t>
      </w:r>
      <w:r>
        <w:rPr>
          <w:rFonts w:hint="eastAsia" w:ascii="宋体" w:hAnsi="宋体" w:cs="宋体"/>
          <w:sz w:val="24"/>
          <w:lang w:bidi="ar"/>
        </w:rPr>
        <w:t>人或其他</w:t>
      </w:r>
      <w:r>
        <w:rPr>
          <w:rFonts w:hint="eastAsia" w:ascii="宋体" w:hAnsi="宋体" w:cs="宋体"/>
          <w:sz w:val="24"/>
          <w:lang w:val="en-US" w:eastAsia="zh-CN" w:bidi="ar"/>
        </w:rPr>
        <w:t>参选</w:t>
      </w:r>
      <w:r>
        <w:rPr>
          <w:rFonts w:hint="eastAsia" w:ascii="宋体" w:hAnsi="宋体" w:cs="宋体"/>
          <w:sz w:val="24"/>
          <w:lang w:bidi="ar"/>
        </w:rPr>
        <w:t>人串通</w:t>
      </w:r>
      <w:r>
        <w:rPr>
          <w:rFonts w:hint="eastAsia" w:ascii="宋体" w:hAnsi="宋体" w:cs="宋体"/>
          <w:sz w:val="24"/>
          <w:lang w:val="en-US" w:eastAsia="zh-CN" w:bidi="ar"/>
        </w:rPr>
        <w:t>参选</w:t>
      </w:r>
      <w:r>
        <w:rPr>
          <w:rFonts w:hint="eastAsia" w:ascii="宋体" w:hAnsi="宋体" w:cs="宋体"/>
          <w:sz w:val="24"/>
          <w:lang w:bidi="ar"/>
        </w:rPr>
        <w:t>，损害国家利益、社会利益或他人的合法权益。</w:t>
      </w:r>
    </w:p>
    <w:p w14:paraId="11E1637F">
      <w:pPr>
        <w:spacing w:line="480" w:lineRule="exact"/>
        <w:rPr>
          <w:rFonts w:ascii="宋体" w:hAnsi="宋体" w:cs="宋体"/>
          <w:sz w:val="24"/>
          <w:lang w:bidi="ar"/>
        </w:rPr>
      </w:pPr>
      <w:r>
        <w:rPr>
          <w:rFonts w:hint="eastAsia" w:ascii="宋体" w:hAnsi="宋体" w:cs="宋体"/>
          <w:sz w:val="24"/>
          <w:lang w:bidi="ar"/>
        </w:rPr>
        <w:t>　　三、不以他人名义</w:t>
      </w:r>
      <w:r>
        <w:rPr>
          <w:rFonts w:hint="eastAsia" w:ascii="宋体" w:hAnsi="宋体" w:cs="宋体"/>
          <w:sz w:val="24"/>
          <w:lang w:val="en-US" w:eastAsia="zh-CN" w:bidi="ar"/>
        </w:rPr>
        <w:t>参</w:t>
      </w:r>
      <w:r>
        <w:rPr>
          <w:rFonts w:hint="eastAsia" w:ascii="宋体" w:hAnsi="宋体" w:cs="宋体"/>
          <w:sz w:val="24"/>
          <w:lang w:eastAsia="zh-CN" w:bidi="ar"/>
        </w:rPr>
        <w:t>选</w:t>
      </w:r>
      <w:r>
        <w:rPr>
          <w:rFonts w:hint="eastAsia" w:ascii="宋体" w:hAnsi="宋体" w:cs="宋体"/>
          <w:sz w:val="24"/>
          <w:lang w:bidi="ar"/>
        </w:rPr>
        <w:t>或者其他方式弄虚作假，骗取中</w:t>
      </w:r>
      <w:r>
        <w:rPr>
          <w:rFonts w:hint="eastAsia" w:ascii="宋体" w:hAnsi="宋体" w:cs="宋体"/>
          <w:sz w:val="24"/>
          <w:lang w:eastAsia="zh-CN" w:bidi="ar"/>
        </w:rPr>
        <w:t>选</w:t>
      </w:r>
      <w:r>
        <w:rPr>
          <w:rFonts w:hint="eastAsia" w:ascii="宋体" w:hAnsi="宋体" w:cs="宋体"/>
          <w:sz w:val="24"/>
          <w:lang w:bidi="ar"/>
        </w:rPr>
        <w:t>。</w:t>
      </w:r>
    </w:p>
    <w:p w14:paraId="27406571">
      <w:pPr>
        <w:spacing w:line="480" w:lineRule="exact"/>
        <w:rPr>
          <w:rFonts w:ascii="宋体" w:hAnsi="宋体" w:cs="宋体"/>
          <w:sz w:val="24"/>
          <w:lang w:bidi="ar"/>
        </w:rPr>
      </w:pPr>
      <w:r>
        <w:rPr>
          <w:rFonts w:hint="eastAsia" w:ascii="宋体" w:hAnsi="宋体" w:cs="宋体"/>
          <w:sz w:val="24"/>
          <w:lang w:bidi="ar"/>
        </w:rPr>
        <w:t>　　四、按照招</w:t>
      </w:r>
      <w:r>
        <w:rPr>
          <w:rFonts w:hint="eastAsia" w:ascii="宋体" w:hAnsi="宋体" w:cs="宋体"/>
          <w:sz w:val="24"/>
          <w:lang w:eastAsia="zh-CN" w:bidi="ar"/>
        </w:rPr>
        <w:t>选</w:t>
      </w:r>
      <w:r>
        <w:rPr>
          <w:rFonts w:hint="eastAsia" w:ascii="宋体" w:hAnsi="宋体" w:cs="宋体"/>
          <w:sz w:val="24"/>
          <w:lang w:bidi="ar"/>
        </w:rPr>
        <w:t>文件规定及合同约定，能满足产能要求，如有违约同意没收</w:t>
      </w:r>
      <w:r>
        <w:rPr>
          <w:rFonts w:hint="eastAsia" w:ascii="宋体" w:hAnsi="宋体" w:cs="宋体"/>
          <w:sz w:val="24"/>
          <w:lang w:val="en-US" w:eastAsia="zh-CN" w:bidi="ar"/>
        </w:rPr>
        <w:t>参</w:t>
      </w:r>
      <w:r>
        <w:rPr>
          <w:rFonts w:hint="eastAsia" w:ascii="宋体" w:hAnsi="宋体" w:cs="宋体"/>
          <w:sz w:val="24"/>
          <w:lang w:eastAsia="zh-CN" w:bidi="ar"/>
        </w:rPr>
        <w:t>选</w:t>
      </w:r>
      <w:r>
        <w:rPr>
          <w:rFonts w:hint="eastAsia" w:ascii="宋体" w:hAnsi="宋体" w:cs="宋体"/>
          <w:sz w:val="24"/>
          <w:lang w:bidi="ar"/>
        </w:rPr>
        <w:t>保证金或履约保证金。</w:t>
      </w:r>
    </w:p>
    <w:p w14:paraId="44F85E69">
      <w:pPr>
        <w:spacing w:line="480" w:lineRule="exact"/>
        <w:rPr>
          <w:rFonts w:ascii="宋体" w:hAnsi="宋体" w:cs="宋体"/>
          <w:sz w:val="24"/>
          <w:lang w:bidi="ar"/>
        </w:rPr>
      </w:pPr>
      <w:r>
        <w:rPr>
          <w:rFonts w:hint="eastAsia" w:ascii="宋体" w:hAnsi="宋体" w:cs="宋体"/>
          <w:sz w:val="24"/>
          <w:lang w:bidi="ar"/>
        </w:rPr>
        <w:t>　　五、保证提供的产品符合相关标准和设计要求，不使用未经检测或者检测质量不合格的材料，如有违约同意没收</w:t>
      </w:r>
      <w:r>
        <w:rPr>
          <w:rFonts w:hint="eastAsia" w:ascii="宋体" w:hAnsi="宋体" w:cs="宋体"/>
          <w:sz w:val="24"/>
          <w:lang w:val="en-US" w:eastAsia="zh-CN" w:bidi="ar"/>
        </w:rPr>
        <w:t>参选</w:t>
      </w:r>
      <w:r>
        <w:rPr>
          <w:rFonts w:hint="eastAsia" w:ascii="宋体" w:hAnsi="宋体" w:cs="宋体"/>
          <w:sz w:val="24"/>
          <w:lang w:bidi="ar"/>
        </w:rPr>
        <w:t>保证金或履约保证金，并承担赔偿责任。</w:t>
      </w:r>
    </w:p>
    <w:p w14:paraId="6493761F">
      <w:pPr>
        <w:spacing w:line="480" w:lineRule="exact"/>
        <w:rPr>
          <w:rFonts w:ascii="宋体" w:hAnsi="宋体" w:cs="宋体"/>
          <w:sz w:val="24"/>
          <w:lang w:bidi="ar"/>
        </w:rPr>
      </w:pPr>
      <w:r>
        <w:rPr>
          <w:rFonts w:hint="eastAsia" w:ascii="宋体" w:hAnsi="宋体" w:cs="宋体"/>
          <w:sz w:val="24"/>
          <w:lang w:bidi="ar"/>
        </w:rPr>
        <w:t>　　六、</w:t>
      </w:r>
      <w:r>
        <w:rPr>
          <w:rFonts w:hint="eastAsia" w:ascii="宋体" w:hAnsi="宋体" w:cs="宋体"/>
          <w:sz w:val="24"/>
          <w:lang w:val="en-US" w:eastAsia="zh-CN" w:bidi="ar"/>
        </w:rPr>
        <w:t>我方</w:t>
      </w:r>
      <w:r>
        <w:rPr>
          <w:rFonts w:hint="eastAsia" w:ascii="宋体" w:hAnsi="宋体" w:cs="宋体"/>
          <w:sz w:val="24"/>
          <w:lang w:bidi="ar"/>
        </w:rPr>
        <w:t>若违反本</w:t>
      </w:r>
      <w:r>
        <w:rPr>
          <w:rFonts w:hint="eastAsia" w:ascii="宋体" w:hAnsi="宋体" w:cs="宋体"/>
          <w:sz w:val="24"/>
          <w:lang w:val="en-US" w:eastAsia="zh-CN" w:bidi="ar"/>
        </w:rPr>
        <w:t>参选</w:t>
      </w:r>
      <w:r>
        <w:rPr>
          <w:rFonts w:hint="eastAsia" w:ascii="宋体" w:hAnsi="宋体" w:cs="宋体"/>
          <w:sz w:val="24"/>
          <w:lang w:bidi="ar"/>
        </w:rPr>
        <w:t>承诺，愿承担相应的法律责任。</w:t>
      </w:r>
    </w:p>
    <w:p w14:paraId="59CAA63D">
      <w:pPr>
        <w:spacing w:line="480" w:lineRule="exact"/>
        <w:rPr>
          <w:rFonts w:ascii="宋体" w:hAnsi="宋体" w:cs="宋体"/>
          <w:b/>
          <w:bCs/>
          <w:color w:val="FF0000"/>
          <w:sz w:val="24"/>
          <w:u w:val="single"/>
          <w:lang w:bidi="ar"/>
        </w:rPr>
      </w:pPr>
      <w:r>
        <w:rPr>
          <w:rFonts w:hint="eastAsia" w:ascii="宋体" w:hAnsi="宋体" w:cs="宋体"/>
          <w:b/>
          <w:bCs/>
          <w:sz w:val="24"/>
          <w:lang w:bidi="ar"/>
        </w:rPr>
        <w:t>　</w:t>
      </w:r>
    </w:p>
    <w:p w14:paraId="7973B0F1">
      <w:pPr>
        <w:widowControl/>
        <w:spacing w:before="75" w:after="75" w:line="480" w:lineRule="exact"/>
        <w:ind w:firstLine="480" w:firstLineChars="200"/>
        <w:jc w:val="left"/>
        <w:rPr>
          <w:rFonts w:ascii="宋体" w:hAnsi="宋体" w:cs="宋体"/>
          <w:sz w:val="24"/>
          <w:lang w:bidi="ar"/>
        </w:rPr>
      </w:pPr>
      <w:r>
        <w:rPr>
          <w:rFonts w:hint="eastAsia" w:ascii="宋体" w:hAnsi="宋体" w:cs="宋体"/>
          <w:sz w:val="24"/>
          <w:lang w:bidi="ar"/>
        </w:rPr>
        <w:t>特此承诺。</w:t>
      </w:r>
    </w:p>
    <w:p w14:paraId="70AC06D9">
      <w:pPr>
        <w:widowControl/>
        <w:spacing w:before="75" w:after="75" w:line="480" w:lineRule="exact"/>
        <w:ind w:firstLine="480" w:firstLineChars="200"/>
        <w:jc w:val="left"/>
        <w:rPr>
          <w:rFonts w:ascii="宋体" w:hAnsi="宋体" w:cs="宋体"/>
          <w:sz w:val="24"/>
          <w:lang w:bidi="ar"/>
        </w:rPr>
      </w:pPr>
    </w:p>
    <w:p w14:paraId="59E20368">
      <w:pPr>
        <w:widowControl/>
        <w:spacing w:before="75" w:after="75" w:line="480" w:lineRule="exact"/>
        <w:ind w:firstLine="480" w:firstLineChars="200"/>
        <w:jc w:val="left"/>
        <w:rPr>
          <w:rFonts w:ascii="宋体" w:hAnsi="宋体" w:cs="宋体"/>
          <w:sz w:val="24"/>
          <w:lang w:bidi="ar"/>
        </w:rPr>
      </w:pPr>
    </w:p>
    <w:p w14:paraId="7776262D">
      <w:pPr>
        <w:spacing w:line="480" w:lineRule="exact"/>
        <w:rPr>
          <w:rFonts w:ascii="仿宋" w:hAnsi="仿宋" w:eastAsia="仿宋"/>
          <w:sz w:val="28"/>
          <w:szCs w:val="28"/>
        </w:rPr>
      </w:pPr>
    </w:p>
    <w:p w14:paraId="6A3FBD59">
      <w:pPr>
        <w:spacing w:line="480" w:lineRule="exact"/>
        <w:ind w:firstLine="4080" w:firstLineChars="1700"/>
        <w:rPr>
          <w:rFonts w:ascii="宋体" w:hAnsi="宋体" w:cs="宋体"/>
          <w:sz w:val="24"/>
        </w:rPr>
      </w:pPr>
      <w:r>
        <w:rPr>
          <w:rFonts w:hint="eastAsia" w:ascii="宋体" w:hAnsi="宋体" w:cs="宋体"/>
          <w:sz w:val="24"/>
          <w:lang w:val="en-US" w:eastAsia="zh-CN" w:bidi="ar"/>
        </w:rPr>
        <w:t>参选</w:t>
      </w:r>
      <w:r>
        <w:rPr>
          <w:rFonts w:hint="eastAsia" w:ascii="宋体" w:hAnsi="宋体" w:cs="宋体"/>
          <w:sz w:val="24"/>
          <w:lang w:bidi="ar"/>
        </w:rPr>
        <w:t xml:space="preserve">人名称： （盖单位公章）  </w:t>
      </w:r>
    </w:p>
    <w:p w14:paraId="2DEEB105">
      <w:pPr>
        <w:spacing w:line="480" w:lineRule="exact"/>
        <w:ind w:firstLine="2400" w:firstLineChars="1000"/>
        <w:rPr>
          <w:rFonts w:ascii="宋体" w:hAnsi="宋体" w:cs="宋体"/>
          <w:sz w:val="24"/>
        </w:rPr>
      </w:pPr>
      <w:r>
        <w:rPr>
          <w:rFonts w:hint="eastAsia" w:ascii="宋体" w:hAnsi="宋体" w:cs="宋体"/>
          <w:sz w:val="24"/>
          <w:lang w:bidi="ar"/>
        </w:rPr>
        <w:t>法定代表人或其委托代理人：       （签字）</w:t>
      </w:r>
    </w:p>
    <w:p w14:paraId="3CFB5932">
      <w:pPr>
        <w:spacing w:line="480" w:lineRule="exact"/>
        <w:rPr>
          <w:rFonts w:ascii="宋体" w:hAnsi="宋体" w:cs="宋体"/>
          <w:sz w:val="24"/>
        </w:rPr>
      </w:pPr>
      <w:r>
        <w:rPr>
          <w:rFonts w:hint="eastAsia" w:ascii="宋体" w:hAnsi="宋体" w:cs="宋体"/>
          <w:sz w:val="24"/>
          <w:lang w:bidi="ar"/>
        </w:rPr>
        <w:softHyphen/>
      </w:r>
      <w:r>
        <w:rPr>
          <w:rFonts w:hint="eastAsia" w:ascii="宋体" w:hAnsi="宋体" w:cs="宋体"/>
          <w:sz w:val="24"/>
          <w:lang w:bidi="ar"/>
        </w:rPr>
        <w:softHyphen/>
      </w:r>
      <w:r>
        <w:rPr>
          <w:rFonts w:hint="eastAsia" w:ascii="宋体" w:hAnsi="宋体" w:cs="宋体"/>
          <w:sz w:val="24"/>
          <w:lang w:bidi="ar"/>
        </w:rPr>
        <w:softHyphen/>
      </w:r>
      <w:r>
        <w:rPr>
          <w:rFonts w:hint="eastAsia" w:ascii="宋体" w:hAnsi="宋体" w:cs="宋体"/>
          <w:sz w:val="24"/>
          <w:lang w:bidi="ar"/>
        </w:rPr>
        <w:softHyphen/>
      </w:r>
      <w:r>
        <w:rPr>
          <w:rFonts w:hint="eastAsia" w:ascii="宋体" w:hAnsi="宋体" w:cs="宋体"/>
          <w:sz w:val="24"/>
          <w:lang w:bidi="ar"/>
        </w:rPr>
        <w:softHyphen/>
      </w:r>
      <w:r>
        <w:rPr>
          <w:rFonts w:hint="eastAsia" w:ascii="宋体" w:hAnsi="宋体" w:cs="宋体"/>
          <w:sz w:val="24"/>
          <w:lang w:bidi="ar"/>
        </w:rPr>
        <w:softHyphen/>
      </w:r>
      <w:r>
        <w:rPr>
          <w:rFonts w:hint="eastAsia" w:ascii="宋体" w:hAnsi="宋体" w:cs="宋体"/>
          <w:sz w:val="24"/>
          <w:lang w:bidi="ar"/>
        </w:rPr>
        <w:softHyphen/>
      </w:r>
      <w:r>
        <w:rPr>
          <w:rFonts w:hint="eastAsia" w:ascii="宋体" w:hAnsi="宋体" w:cs="宋体"/>
          <w:sz w:val="24"/>
          <w:lang w:bidi="ar"/>
        </w:rPr>
        <w:softHyphen/>
      </w:r>
      <w:r>
        <w:rPr>
          <w:rFonts w:hint="eastAsia" w:ascii="宋体" w:hAnsi="宋体" w:cs="宋体"/>
          <w:sz w:val="24"/>
          <w:lang w:bidi="ar"/>
        </w:rPr>
        <w:softHyphen/>
      </w:r>
      <w:r>
        <w:rPr>
          <w:rFonts w:hint="eastAsia" w:ascii="宋体" w:hAnsi="宋体" w:cs="宋体"/>
          <w:sz w:val="24"/>
          <w:lang w:bidi="ar"/>
        </w:rPr>
        <w:softHyphen/>
      </w:r>
      <w:r>
        <w:rPr>
          <w:rFonts w:hint="eastAsia" w:ascii="宋体" w:hAnsi="宋体" w:cs="宋体"/>
          <w:sz w:val="24"/>
          <w:lang w:bidi="ar"/>
        </w:rPr>
        <w:softHyphen/>
      </w:r>
      <w:r>
        <w:rPr>
          <w:rFonts w:hint="eastAsia" w:ascii="宋体" w:hAnsi="宋体" w:cs="宋体"/>
          <w:sz w:val="24"/>
          <w:lang w:bidi="ar"/>
        </w:rPr>
        <w:t xml:space="preserve">                            </w:t>
      </w:r>
      <w:r>
        <w:rPr>
          <w:rFonts w:ascii="宋体" w:hAnsi="宋体" w:cs="宋体"/>
          <w:sz w:val="24"/>
          <w:lang w:bidi="ar"/>
        </w:rPr>
        <w:t xml:space="preserve">        </w:t>
      </w:r>
      <w:r>
        <w:rPr>
          <w:rFonts w:hint="eastAsia" w:ascii="宋体" w:hAnsi="宋体" w:cs="宋体"/>
          <w:sz w:val="24"/>
          <w:lang w:bidi="ar"/>
        </w:rPr>
        <w:t xml:space="preserve"> 日期：     年    月    日</w:t>
      </w:r>
    </w:p>
    <w:p w14:paraId="0A5D2F2E">
      <w:pPr>
        <w:ind w:firstLine="480" w:firstLineChars="200"/>
        <w:rPr>
          <w:rFonts w:ascii="宋体" w:hAnsi="宋体"/>
          <w:sz w:val="24"/>
        </w:rPr>
      </w:pPr>
      <w:r>
        <w:rPr>
          <w:rFonts w:hint="eastAsia" w:ascii="宋体" w:hAnsi="宋体" w:cs="宋体"/>
          <w:sz w:val="24"/>
          <w:lang w:bidi="ar"/>
        </w:rPr>
        <w:t xml:space="preserve"> </w:t>
      </w:r>
    </w:p>
    <w:p w14:paraId="6C0FDF7E">
      <w:pPr>
        <w:pStyle w:val="2"/>
        <w:ind w:firstLine="0" w:firstLineChars="0"/>
        <w:rPr>
          <w:lang w:bidi="ar"/>
        </w:rPr>
      </w:pPr>
    </w:p>
    <w:p w14:paraId="7E6A8A9E">
      <w:pPr>
        <w:pStyle w:val="2"/>
        <w:ind w:firstLine="0" w:firstLineChars="0"/>
        <w:rPr>
          <w:lang w:bidi="ar"/>
        </w:rPr>
      </w:pPr>
    </w:p>
    <w:p w14:paraId="68BB08DE">
      <w:pPr>
        <w:widowControl/>
        <w:spacing w:before="100" w:beforeAutospacing="1" w:after="100" w:afterAutospacing="1" w:line="450" w:lineRule="atLeast"/>
        <w:ind w:right="482"/>
        <w:jc w:val="center"/>
        <w:outlineLvl w:val="1"/>
        <w:rPr>
          <w:rFonts w:ascii="宋体" w:hAnsi="宋体" w:cs="宋体"/>
          <w:b/>
          <w:color w:val="auto"/>
          <w:sz w:val="44"/>
          <w:szCs w:val="44"/>
        </w:rPr>
      </w:pPr>
      <w:bookmarkStart w:id="612" w:name="_Toc109888287"/>
      <w:bookmarkStart w:id="613" w:name="_Toc120110865"/>
      <w:r>
        <w:rPr>
          <w:rFonts w:hint="eastAsia" w:ascii="宋体" w:hAnsi="宋体" w:cs="宋体"/>
          <w:b/>
          <w:color w:val="auto"/>
          <w:sz w:val="32"/>
          <w:szCs w:val="32"/>
          <w:lang w:bidi="ar"/>
        </w:rPr>
        <w:t>六、</w:t>
      </w:r>
      <w:r>
        <w:rPr>
          <w:rFonts w:hint="eastAsia" w:ascii="宋体" w:hAnsi="宋体" w:cs="宋体"/>
          <w:b/>
          <w:color w:val="auto"/>
          <w:sz w:val="32"/>
          <w:szCs w:val="32"/>
          <w:lang w:val="en-US" w:eastAsia="zh-CN" w:bidi="ar"/>
        </w:rPr>
        <w:t>参选</w:t>
      </w:r>
      <w:r>
        <w:rPr>
          <w:rFonts w:hint="eastAsia" w:ascii="宋体" w:hAnsi="宋体" w:cs="宋体"/>
          <w:b/>
          <w:color w:val="auto"/>
          <w:sz w:val="32"/>
          <w:szCs w:val="32"/>
          <w:lang w:bidi="ar"/>
        </w:rPr>
        <w:t>人提交的</w:t>
      </w:r>
      <w:r>
        <w:rPr>
          <w:rFonts w:hint="eastAsia" w:ascii="宋体" w:hAnsi="宋体" w:cs="宋体"/>
          <w:b/>
          <w:color w:val="auto"/>
          <w:sz w:val="32"/>
          <w:szCs w:val="32"/>
          <w:lang w:eastAsia="zh-CN" w:bidi="ar"/>
        </w:rPr>
        <w:t>其他</w:t>
      </w:r>
      <w:r>
        <w:rPr>
          <w:rFonts w:hint="eastAsia" w:ascii="宋体" w:hAnsi="宋体" w:cs="宋体"/>
          <w:b/>
          <w:color w:val="auto"/>
          <w:sz w:val="32"/>
          <w:szCs w:val="32"/>
          <w:lang w:bidi="ar"/>
        </w:rPr>
        <w:t>资料</w:t>
      </w:r>
      <w:bookmarkEnd w:id="611"/>
      <w:bookmarkEnd w:id="612"/>
      <w:bookmarkEnd w:id="613"/>
    </w:p>
    <w:p w14:paraId="6407F370">
      <w:pPr>
        <w:rPr>
          <w:rFonts w:ascii="宋体" w:hAnsi="宋体" w:cs="宋体"/>
          <w:sz w:val="24"/>
          <w:lang w:bidi="ar"/>
        </w:rPr>
      </w:pPr>
      <w:r>
        <w:rPr>
          <w:rFonts w:hint="eastAsia" w:ascii="宋体" w:hAnsi="宋体" w:cs="宋体"/>
          <w:sz w:val="24"/>
          <w:lang w:bidi="ar"/>
        </w:rPr>
        <w:t>1</w:t>
      </w:r>
      <w:r>
        <w:rPr>
          <w:rFonts w:ascii="宋体" w:hAnsi="宋体" w:cs="宋体"/>
          <w:sz w:val="24"/>
          <w:lang w:bidi="ar"/>
        </w:rPr>
        <w:t>.</w:t>
      </w:r>
      <w:r>
        <w:rPr>
          <w:rFonts w:hint="eastAsia" w:ascii="宋体" w:hAnsi="宋体" w:cs="宋体"/>
          <w:sz w:val="24"/>
          <w:lang w:val="en-US" w:eastAsia="zh-CN" w:bidi="ar"/>
        </w:rPr>
        <w:t>参选</w:t>
      </w:r>
      <w:r>
        <w:rPr>
          <w:rFonts w:hint="eastAsia" w:ascii="宋体" w:hAnsi="宋体" w:cs="宋体"/>
          <w:sz w:val="24"/>
          <w:lang w:bidi="ar"/>
        </w:rPr>
        <w:t>保证金凭证复印件</w:t>
      </w:r>
    </w:p>
    <w:p w14:paraId="221B906D">
      <w:pPr>
        <w:rPr>
          <w:rFonts w:ascii="宋体" w:hAnsi="宋体" w:cs="宋体"/>
          <w:sz w:val="24"/>
          <w:lang w:bidi="ar"/>
        </w:rPr>
      </w:pPr>
      <w:r>
        <w:rPr>
          <w:rFonts w:hint="eastAsia" w:ascii="宋体" w:hAnsi="宋体" w:cs="宋体"/>
          <w:sz w:val="24"/>
          <w:lang w:bidi="ar"/>
        </w:rPr>
        <w:t>2</w:t>
      </w:r>
      <w:r>
        <w:rPr>
          <w:rFonts w:ascii="宋体" w:hAnsi="宋体" w:cs="宋体"/>
          <w:sz w:val="24"/>
          <w:lang w:bidi="ar"/>
        </w:rPr>
        <w:t>.</w:t>
      </w:r>
      <w:r>
        <w:rPr>
          <w:rFonts w:hint="eastAsia" w:ascii="宋体" w:hAnsi="宋体" w:cs="宋体"/>
          <w:sz w:val="24"/>
          <w:lang w:bidi="ar"/>
        </w:rPr>
        <w:t>邀请函复印件</w:t>
      </w:r>
    </w:p>
    <w:p w14:paraId="66127499">
      <w:pPr>
        <w:rPr>
          <w:rFonts w:ascii="宋体" w:hAnsi="宋体" w:cs="宋体"/>
          <w:sz w:val="28"/>
          <w:szCs w:val="28"/>
          <w:lang w:bidi="ar"/>
        </w:rPr>
      </w:pPr>
      <w:r>
        <w:rPr>
          <w:rFonts w:hint="eastAsia" w:ascii="宋体" w:hAnsi="宋体" w:cs="宋体"/>
          <w:sz w:val="28"/>
          <w:szCs w:val="28"/>
          <w:lang w:bidi="ar"/>
        </w:rPr>
        <w:t xml:space="preserve"> </w:t>
      </w:r>
    </w:p>
    <w:p w14:paraId="17F1DFC5">
      <w:pPr>
        <w:rPr>
          <w:rFonts w:ascii="宋体" w:hAnsi="宋体" w:cs="宋体"/>
          <w:sz w:val="28"/>
          <w:szCs w:val="28"/>
          <w:lang w:bidi="ar"/>
        </w:rPr>
      </w:pPr>
    </w:p>
    <w:p w14:paraId="40E10F33">
      <w:pPr>
        <w:rPr>
          <w:rFonts w:ascii="宋体" w:hAnsi="宋体" w:cs="宋体"/>
          <w:sz w:val="28"/>
          <w:szCs w:val="28"/>
          <w:lang w:bidi="ar"/>
        </w:rPr>
      </w:pPr>
    </w:p>
    <w:p w14:paraId="4F81F73E">
      <w:pPr>
        <w:rPr>
          <w:rFonts w:ascii="宋体" w:hAnsi="宋体" w:cs="宋体"/>
          <w:sz w:val="28"/>
          <w:szCs w:val="28"/>
          <w:lang w:bidi="ar"/>
        </w:rPr>
      </w:pPr>
    </w:p>
    <w:p w14:paraId="087098B0">
      <w:pPr>
        <w:rPr>
          <w:rFonts w:ascii="宋体" w:hAnsi="宋体" w:cs="宋体"/>
          <w:sz w:val="28"/>
          <w:szCs w:val="28"/>
          <w:lang w:bidi="ar"/>
        </w:rPr>
      </w:pPr>
    </w:p>
    <w:p w14:paraId="3FF7D75B">
      <w:pPr>
        <w:rPr>
          <w:rFonts w:ascii="宋体" w:hAnsi="宋体" w:cs="宋体"/>
          <w:sz w:val="28"/>
          <w:szCs w:val="28"/>
          <w:lang w:bidi="ar"/>
        </w:rPr>
      </w:pPr>
    </w:p>
    <w:p w14:paraId="1AA814B9">
      <w:pPr>
        <w:rPr>
          <w:rFonts w:ascii="宋体" w:hAnsi="宋体" w:cs="宋体"/>
          <w:sz w:val="28"/>
          <w:szCs w:val="28"/>
          <w:lang w:bidi="ar"/>
        </w:rPr>
      </w:pPr>
    </w:p>
    <w:p w14:paraId="3AA07FBA">
      <w:pPr>
        <w:rPr>
          <w:rFonts w:ascii="宋体" w:hAnsi="宋体" w:cs="宋体"/>
          <w:sz w:val="28"/>
          <w:szCs w:val="28"/>
          <w:lang w:bidi="ar"/>
        </w:rPr>
      </w:pPr>
    </w:p>
    <w:p w14:paraId="24E564FD">
      <w:pPr>
        <w:rPr>
          <w:rFonts w:ascii="宋体" w:hAnsi="宋体" w:cs="宋体"/>
          <w:sz w:val="28"/>
          <w:szCs w:val="28"/>
        </w:rPr>
      </w:pPr>
    </w:p>
    <w:p w14:paraId="02EAEA70">
      <w:pPr>
        <w:widowControl/>
        <w:spacing w:before="100" w:beforeAutospacing="1" w:after="100" w:afterAutospacing="1" w:line="450" w:lineRule="atLeast"/>
        <w:ind w:right="960" w:firstLine="3240" w:firstLineChars="1350"/>
        <w:rPr>
          <w:rFonts w:ascii="宋体" w:hAnsi="宋体" w:cs="宋体"/>
          <w:kern w:val="0"/>
          <w:sz w:val="24"/>
        </w:rPr>
      </w:pPr>
      <w:r>
        <w:rPr>
          <w:rFonts w:hint="eastAsia" w:ascii="宋体" w:hAnsi="宋体" w:cs="宋体"/>
          <w:kern w:val="0"/>
          <w:sz w:val="24"/>
          <w:lang w:val="en-US" w:eastAsia="zh-CN" w:bidi="ar"/>
        </w:rPr>
        <w:t>参选人</w:t>
      </w:r>
      <w:r>
        <w:rPr>
          <w:rFonts w:hint="eastAsia" w:ascii="宋体" w:hAnsi="宋体" w:cs="宋体"/>
          <w:kern w:val="0"/>
          <w:sz w:val="24"/>
          <w:lang w:bidi="ar"/>
        </w:rPr>
        <w:t>名称：</w:t>
      </w:r>
      <w:r>
        <w:rPr>
          <w:rFonts w:hint="eastAsia" w:ascii="宋体" w:hAnsi="宋体" w:cs="宋体"/>
          <w:kern w:val="0"/>
          <w:sz w:val="24"/>
          <w:u w:val="single"/>
          <w:lang w:bidi="ar"/>
        </w:rPr>
        <w:t xml:space="preserve"> （盖单位公章）  </w:t>
      </w:r>
    </w:p>
    <w:p w14:paraId="549F77DF">
      <w:pPr>
        <w:widowControl/>
        <w:spacing w:before="100" w:beforeAutospacing="1" w:after="100" w:afterAutospacing="1" w:line="450" w:lineRule="atLeast"/>
        <w:ind w:right="480"/>
        <w:rPr>
          <w:rFonts w:ascii="宋体" w:hAnsi="宋体" w:cs="宋体"/>
          <w:kern w:val="0"/>
          <w:sz w:val="24"/>
        </w:rPr>
      </w:pPr>
      <w:r>
        <w:rPr>
          <w:rFonts w:hint="eastAsia" w:ascii="宋体" w:hAnsi="宋体" w:cs="宋体"/>
          <w:kern w:val="0"/>
          <w:sz w:val="24"/>
          <w:lang w:bidi="ar"/>
        </w:rPr>
        <w:t xml:space="preserve">                           </w:t>
      </w:r>
      <w:r>
        <w:rPr>
          <w:rFonts w:hint="eastAsia" w:ascii="宋体" w:hAnsi="宋体" w:cs="宋体"/>
          <w:sz w:val="24"/>
          <w:lang w:bidi="ar"/>
        </w:rPr>
        <w:t>日期：</w:t>
      </w:r>
      <w:r>
        <w:rPr>
          <w:rFonts w:hint="eastAsia" w:ascii="宋体" w:hAnsi="宋体" w:cs="宋体"/>
          <w:sz w:val="24"/>
          <w:u w:val="single"/>
          <w:lang w:bidi="ar"/>
        </w:rPr>
        <w:t xml:space="preserve">     </w:t>
      </w:r>
      <w:r>
        <w:rPr>
          <w:rFonts w:hint="eastAsia" w:ascii="宋体" w:hAnsi="宋体" w:cs="宋体"/>
          <w:sz w:val="24"/>
          <w:lang w:bidi="ar"/>
        </w:rPr>
        <w:t>年</w:t>
      </w:r>
      <w:r>
        <w:rPr>
          <w:rFonts w:hint="eastAsia" w:ascii="宋体" w:hAnsi="宋体" w:cs="宋体"/>
          <w:sz w:val="24"/>
          <w:u w:val="single"/>
          <w:lang w:bidi="ar"/>
        </w:rPr>
        <w:t xml:space="preserve">    </w:t>
      </w:r>
      <w:r>
        <w:rPr>
          <w:rFonts w:hint="eastAsia" w:ascii="宋体" w:hAnsi="宋体" w:cs="宋体"/>
          <w:sz w:val="24"/>
          <w:lang w:bidi="ar"/>
        </w:rPr>
        <w:t>月</w:t>
      </w:r>
      <w:r>
        <w:rPr>
          <w:rFonts w:hint="eastAsia" w:ascii="宋体" w:hAnsi="宋体" w:cs="宋体"/>
          <w:sz w:val="24"/>
          <w:u w:val="single"/>
          <w:lang w:bidi="ar"/>
        </w:rPr>
        <w:t xml:space="preserve">    </w:t>
      </w:r>
      <w:r>
        <w:rPr>
          <w:rFonts w:hint="eastAsia" w:ascii="宋体" w:hAnsi="宋体" w:cs="宋体"/>
          <w:sz w:val="24"/>
          <w:lang w:bidi="ar"/>
        </w:rPr>
        <w:t>日</w:t>
      </w:r>
      <w:r>
        <w:rPr>
          <w:rFonts w:hint="eastAsia" w:ascii="宋体" w:hAnsi="宋体" w:cs="宋体"/>
          <w:kern w:val="0"/>
          <w:sz w:val="24"/>
          <w:lang w:bidi="ar"/>
        </w:rPr>
        <w:t xml:space="preserve">  </w:t>
      </w:r>
    </w:p>
    <w:p w14:paraId="5AF60253">
      <w:pPr>
        <w:widowControl/>
        <w:spacing w:line="240" w:lineRule="auto"/>
        <w:jc w:val="left"/>
        <w:rPr>
          <w:rFonts w:asciiTheme="minorEastAsia" w:hAnsiTheme="minorEastAsia"/>
          <w:szCs w:val="21"/>
        </w:rPr>
      </w:pPr>
    </w:p>
    <w:p w14:paraId="598521EC">
      <w:pPr>
        <w:widowControl/>
        <w:spacing w:line="240" w:lineRule="auto"/>
        <w:jc w:val="left"/>
        <w:rPr>
          <w:rFonts w:asciiTheme="minorEastAsia" w:hAnsiTheme="minorEastAsia"/>
          <w:szCs w:val="21"/>
        </w:rPr>
      </w:pPr>
    </w:p>
    <w:p w14:paraId="48E45093">
      <w:pPr>
        <w:widowControl/>
        <w:spacing w:line="240" w:lineRule="auto"/>
        <w:jc w:val="left"/>
        <w:rPr>
          <w:rFonts w:asciiTheme="minorEastAsia" w:hAnsiTheme="minorEastAsia"/>
          <w:szCs w:val="21"/>
        </w:rPr>
      </w:pPr>
    </w:p>
    <w:p w14:paraId="30BA8BC3">
      <w:pPr>
        <w:widowControl/>
        <w:spacing w:line="240" w:lineRule="auto"/>
        <w:jc w:val="left"/>
        <w:rPr>
          <w:rFonts w:asciiTheme="minorEastAsia" w:hAnsiTheme="minorEastAsia"/>
          <w:szCs w:val="21"/>
        </w:rPr>
      </w:pPr>
    </w:p>
    <w:sectPr>
      <w:footerReference r:id="rId6" w:type="default"/>
      <w:pgSz w:w="11906" w:h="16838"/>
      <w:pgMar w:top="1440" w:right="1531" w:bottom="1440" w:left="1531" w:header="851" w:footer="539"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ËÎÌå..îE..">
    <w:altName w:val="宋体"/>
    <w:panose1 w:val="00000000000000000000"/>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EBECE">
    <w:pPr>
      <w:pStyle w:val="2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4B60F9">
                          <w:pPr>
                            <w:pStyle w:val="2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4B60F9">
                    <w:pPr>
                      <w:pStyle w:val="20"/>
                    </w:pPr>
                    <w:r>
                      <w:fldChar w:fldCharType="begin"/>
                    </w:r>
                    <w:r>
                      <w:instrText xml:space="preserve"> PAGE  \* MERGEFORMAT </w:instrText>
                    </w:r>
                    <w:r>
                      <w:fldChar w:fldCharType="separate"/>
                    </w:r>
                    <w:r>
                      <w:t>3</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68753">
                          <w:pPr>
                            <w:pStyle w:val="20"/>
                            <w:rPr>
                              <w:rFonts w:hint="eastAsia" w:eastAsiaTheme="minorEastAsia"/>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DC68753">
                    <w:pPr>
                      <w:pStyle w:val="20"/>
                      <w:rPr>
                        <w:rFonts w:hint="eastAsia" w:eastAsiaTheme="minorEastAsia"/>
                        <w:lang w:val="en-US" w:eastAsia="zh-CN"/>
                      </w:rPr>
                    </w:pPr>
                  </w:p>
                </w:txbxContent>
              </v:textbox>
            </v:shape>
          </w:pict>
        </mc:Fallback>
      </mc:AlternateContent>
    </w:r>
    <w:sdt>
      <w:sdtPr>
        <w:id w:val="147460530"/>
        <w:showingPlcHdr/>
        <w:docPartObj>
          <w:docPartGallery w:val="autotext"/>
        </w:docPartObj>
      </w:sdtPr>
      <w:sdtContent>
        <w:r>
          <w:rPr>
            <w:rFonts w:hint="eastAsia"/>
            <w:lang w:eastAsia="zh-CN"/>
          </w:rPr>
          <w:t xml:space="preserve">     </w:t>
        </w:r>
      </w:sdtContent>
    </w:sdt>
  </w:p>
  <w:p w14:paraId="5EC9B721">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E218F">
    <w:pPr>
      <w:pStyle w:val="2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3544"/>
                            <w:docPartObj>
                              <w:docPartGallery w:val="autotext"/>
                            </w:docPartObj>
                          </w:sdtPr>
                          <w:sdtContent>
                            <w:p w14:paraId="4EFD4350">
                              <w:pPr>
                                <w:pStyle w:val="20"/>
                                <w:jc w:val="center"/>
                              </w:pPr>
                              <w:r>
                                <w:fldChar w:fldCharType="begin"/>
                              </w:r>
                              <w:r>
                                <w:instrText xml:space="preserve">PAGE   \* MERGEFORMAT</w:instrText>
                              </w:r>
                              <w:r>
                                <w:fldChar w:fldCharType="separate"/>
                              </w:r>
                              <w:r>
                                <w:rPr>
                                  <w:lang w:val="zh-CN"/>
                                </w:rPr>
                                <w:t>35</w:t>
                              </w:r>
                              <w:r>
                                <w:fldChar w:fldCharType="end"/>
                              </w:r>
                            </w:p>
                          </w:sdtContent>
                        </w:sdt>
                        <w:p w14:paraId="6A6767A9">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73544"/>
                      <w:docPartObj>
                        <w:docPartGallery w:val="autotext"/>
                      </w:docPartObj>
                    </w:sdtPr>
                    <w:sdtContent>
                      <w:p w14:paraId="4EFD4350">
                        <w:pPr>
                          <w:pStyle w:val="20"/>
                          <w:jc w:val="center"/>
                        </w:pPr>
                        <w:r>
                          <w:fldChar w:fldCharType="begin"/>
                        </w:r>
                        <w:r>
                          <w:instrText xml:space="preserve">PAGE   \* MERGEFORMAT</w:instrText>
                        </w:r>
                        <w:r>
                          <w:fldChar w:fldCharType="separate"/>
                        </w:r>
                        <w:r>
                          <w:rPr>
                            <w:lang w:val="zh-CN"/>
                          </w:rPr>
                          <w:t>35</w:t>
                        </w:r>
                        <w:r>
                          <w:fldChar w:fldCharType="end"/>
                        </w:r>
                      </w:p>
                    </w:sdtContent>
                  </w:sdt>
                  <w:p w14:paraId="6A6767A9">
                    <w:pPr>
                      <w:pStyle w:val="2"/>
                    </w:pPr>
                  </w:p>
                </w:txbxContent>
              </v:textbox>
            </v:shape>
          </w:pict>
        </mc:Fallback>
      </mc:AlternateContent>
    </w:r>
  </w:p>
  <w:p w14:paraId="0FDAEFCB">
    <w:pPr>
      <w:pStyle w:val="2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B8C53"/>
    <w:multiLevelType w:val="singleLevel"/>
    <w:tmpl w:val="80BB8C53"/>
    <w:lvl w:ilvl="0" w:tentative="0">
      <w:start w:val="2"/>
      <w:numFmt w:val="chineseCounting"/>
      <w:suff w:val="nothing"/>
      <w:lvlText w:val="%1、"/>
      <w:lvlJc w:val="left"/>
      <w:rPr>
        <w:rFonts w:hint="eastAsia"/>
      </w:rPr>
    </w:lvl>
  </w:abstractNum>
  <w:abstractNum w:abstractNumId="1">
    <w:nsid w:val="90DF1BB7"/>
    <w:multiLevelType w:val="multilevel"/>
    <w:tmpl w:val="90DF1BB7"/>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A1A706F9"/>
    <w:multiLevelType w:val="singleLevel"/>
    <w:tmpl w:val="A1A706F9"/>
    <w:lvl w:ilvl="0" w:tentative="0">
      <w:start w:val="1"/>
      <w:numFmt w:val="chineseCounting"/>
      <w:suff w:val="nothing"/>
      <w:lvlText w:val="%1、"/>
      <w:lvlJc w:val="left"/>
      <w:pPr>
        <w:ind w:left="0" w:firstLine="420"/>
      </w:pPr>
      <w:rPr>
        <w:rFonts w:hint="eastAsia"/>
      </w:rPr>
    </w:lvl>
  </w:abstractNum>
  <w:abstractNum w:abstractNumId="3">
    <w:nsid w:val="B830E379"/>
    <w:multiLevelType w:val="singleLevel"/>
    <w:tmpl w:val="B830E379"/>
    <w:lvl w:ilvl="0" w:tentative="0">
      <w:start w:val="2"/>
      <w:numFmt w:val="chineseCounting"/>
      <w:suff w:val="space"/>
      <w:lvlText w:val="第%1条"/>
      <w:lvlJc w:val="left"/>
      <w:rPr>
        <w:rFonts w:hint="eastAsia"/>
      </w:rPr>
    </w:lvl>
  </w:abstractNum>
  <w:abstractNum w:abstractNumId="4">
    <w:nsid w:val="D2D3FE2F"/>
    <w:multiLevelType w:val="singleLevel"/>
    <w:tmpl w:val="D2D3FE2F"/>
    <w:lvl w:ilvl="0" w:tentative="0">
      <w:start w:val="1"/>
      <w:numFmt w:val="chineseCounting"/>
      <w:suff w:val="nothing"/>
      <w:lvlText w:val="（%1）"/>
      <w:lvlJc w:val="left"/>
      <w:rPr>
        <w:rFonts w:hint="eastAsia"/>
      </w:rPr>
    </w:lvl>
  </w:abstractNum>
  <w:abstractNum w:abstractNumId="5">
    <w:nsid w:val="D8C225BB"/>
    <w:multiLevelType w:val="singleLevel"/>
    <w:tmpl w:val="D8C225BB"/>
    <w:lvl w:ilvl="0" w:tentative="0">
      <w:start w:val="1"/>
      <w:numFmt w:val="decimal"/>
      <w:lvlText w:val="(%1)"/>
      <w:lvlJc w:val="left"/>
      <w:pPr>
        <w:ind w:left="425" w:hanging="425"/>
      </w:pPr>
      <w:rPr>
        <w:rFonts w:hint="default"/>
      </w:rPr>
    </w:lvl>
  </w:abstractNum>
  <w:abstractNum w:abstractNumId="6">
    <w:nsid w:val="E8DB1DA6"/>
    <w:multiLevelType w:val="singleLevel"/>
    <w:tmpl w:val="E8DB1DA6"/>
    <w:lvl w:ilvl="0" w:tentative="0">
      <w:start w:val="1"/>
      <w:numFmt w:val="decimal"/>
      <w:lvlText w:val="%1."/>
      <w:lvlJc w:val="left"/>
      <w:pPr>
        <w:tabs>
          <w:tab w:val="left" w:pos="312"/>
        </w:tabs>
      </w:pPr>
    </w:lvl>
  </w:abstractNum>
  <w:abstractNum w:abstractNumId="7">
    <w:nsid w:val="05A31698"/>
    <w:multiLevelType w:val="singleLevel"/>
    <w:tmpl w:val="05A31698"/>
    <w:lvl w:ilvl="0" w:tentative="0">
      <w:start w:val="1"/>
      <w:numFmt w:val="chineseCounting"/>
      <w:suff w:val="nothing"/>
      <w:lvlText w:val="（%1）"/>
      <w:lvlJc w:val="left"/>
      <w:pPr>
        <w:ind w:left="0" w:firstLine="420"/>
      </w:pPr>
      <w:rPr>
        <w:rFonts w:hint="eastAsia"/>
      </w:rPr>
    </w:lvl>
  </w:abstractNum>
  <w:abstractNum w:abstractNumId="8">
    <w:nsid w:val="403D6437"/>
    <w:multiLevelType w:val="singleLevel"/>
    <w:tmpl w:val="403D6437"/>
    <w:lvl w:ilvl="0" w:tentative="0">
      <w:start w:val="1"/>
      <w:numFmt w:val="decimal"/>
      <w:suff w:val="nothing"/>
      <w:lvlText w:val="（%1）"/>
      <w:lvlJc w:val="left"/>
      <w:pPr>
        <w:ind w:left="-1"/>
      </w:pPr>
    </w:lvl>
  </w:abstractNum>
  <w:abstractNum w:abstractNumId="9">
    <w:nsid w:val="43BC3F18"/>
    <w:multiLevelType w:val="multilevel"/>
    <w:tmpl w:val="43BC3F1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CD4199F"/>
    <w:multiLevelType w:val="multilevel"/>
    <w:tmpl w:val="4CD4199F"/>
    <w:lvl w:ilvl="0" w:tentative="0">
      <w:start w:val="1"/>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7900EE19"/>
    <w:multiLevelType w:val="singleLevel"/>
    <w:tmpl w:val="7900EE19"/>
    <w:lvl w:ilvl="0" w:tentative="0">
      <w:start w:val="5"/>
      <w:numFmt w:val="chineseCounting"/>
      <w:suff w:val="space"/>
      <w:lvlText w:val="第%1章"/>
      <w:lvlJc w:val="left"/>
      <w:rPr>
        <w:rFonts w:hint="eastAsia"/>
      </w:rPr>
    </w:lvl>
  </w:abstractNum>
  <w:abstractNum w:abstractNumId="12">
    <w:nsid w:val="7AF13E7F"/>
    <w:multiLevelType w:val="singleLevel"/>
    <w:tmpl w:val="7AF13E7F"/>
    <w:lvl w:ilvl="0" w:tentative="0">
      <w:start w:val="1"/>
      <w:numFmt w:val="decimal"/>
      <w:lvlText w:val="(%1)"/>
      <w:lvlJc w:val="left"/>
      <w:pPr>
        <w:ind w:left="845" w:hanging="425"/>
      </w:pPr>
      <w:rPr>
        <w:rFonts w:hint="default"/>
      </w:rPr>
    </w:lvl>
  </w:abstractNum>
  <w:abstractNum w:abstractNumId="13">
    <w:nsid w:val="7B254DAA"/>
    <w:multiLevelType w:val="singleLevel"/>
    <w:tmpl w:val="7B254DAA"/>
    <w:lvl w:ilvl="0" w:tentative="0">
      <w:start w:val="7"/>
      <w:numFmt w:val="chineseCounting"/>
      <w:suff w:val="nothing"/>
      <w:lvlText w:val="%1、"/>
      <w:lvlJc w:val="left"/>
      <w:rPr>
        <w:rFonts w:hint="eastAsia"/>
      </w:rPr>
    </w:lvl>
  </w:abstractNum>
  <w:num w:numId="1">
    <w:abstractNumId w:val="8"/>
  </w:num>
  <w:num w:numId="2">
    <w:abstractNumId w:val="5"/>
  </w:num>
  <w:num w:numId="3">
    <w:abstractNumId w:val="0"/>
  </w:num>
  <w:num w:numId="4">
    <w:abstractNumId w:val="12"/>
  </w:num>
  <w:num w:numId="5">
    <w:abstractNumId w:val="13"/>
  </w:num>
  <w:num w:numId="6">
    <w:abstractNumId w:val="2"/>
  </w:num>
  <w:num w:numId="7">
    <w:abstractNumId w:val="7"/>
  </w:num>
  <w:num w:numId="8">
    <w:abstractNumId w:val="11"/>
  </w:num>
  <w:num w:numId="9">
    <w:abstractNumId w:val="3"/>
  </w:num>
  <w:num w:numId="10">
    <w:abstractNumId w:val="9"/>
  </w:num>
  <w:num w:numId="11">
    <w:abstractNumId w:val="1"/>
  </w:num>
  <w:num w:numId="12">
    <w:abstractNumId w:val="6"/>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YzZjN2U5YzFjMGQ2NTgxM2JlNDc2NzRhY2MwNzYifQ=="/>
  </w:docVars>
  <w:rsids>
    <w:rsidRoot w:val="0066311A"/>
    <w:rsid w:val="00001C4E"/>
    <w:rsid w:val="000022D5"/>
    <w:rsid w:val="0000368B"/>
    <w:rsid w:val="00004C21"/>
    <w:rsid w:val="00005491"/>
    <w:rsid w:val="000064D1"/>
    <w:rsid w:val="00007B02"/>
    <w:rsid w:val="000103D2"/>
    <w:rsid w:val="00010667"/>
    <w:rsid w:val="0001141E"/>
    <w:rsid w:val="0001351E"/>
    <w:rsid w:val="00013EBD"/>
    <w:rsid w:val="00014C78"/>
    <w:rsid w:val="00015103"/>
    <w:rsid w:val="000172B7"/>
    <w:rsid w:val="00017CBE"/>
    <w:rsid w:val="00017F50"/>
    <w:rsid w:val="0002038E"/>
    <w:rsid w:val="00020D85"/>
    <w:rsid w:val="000227B0"/>
    <w:rsid w:val="000233E3"/>
    <w:rsid w:val="00023967"/>
    <w:rsid w:val="000240F1"/>
    <w:rsid w:val="000245CF"/>
    <w:rsid w:val="00024818"/>
    <w:rsid w:val="000250C9"/>
    <w:rsid w:val="0002529E"/>
    <w:rsid w:val="00027329"/>
    <w:rsid w:val="000306AA"/>
    <w:rsid w:val="000320BF"/>
    <w:rsid w:val="0003327D"/>
    <w:rsid w:val="00033809"/>
    <w:rsid w:val="00033B13"/>
    <w:rsid w:val="00033CD4"/>
    <w:rsid w:val="00034102"/>
    <w:rsid w:val="0003460B"/>
    <w:rsid w:val="0003472F"/>
    <w:rsid w:val="00034B60"/>
    <w:rsid w:val="00034CE4"/>
    <w:rsid w:val="00034E3D"/>
    <w:rsid w:val="000355D9"/>
    <w:rsid w:val="00037619"/>
    <w:rsid w:val="00037A0E"/>
    <w:rsid w:val="0004313F"/>
    <w:rsid w:val="0004377D"/>
    <w:rsid w:val="0004442D"/>
    <w:rsid w:val="000456AD"/>
    <w:rsid w:val="00045F2D"/>
    <w:rsid w:val="00045FA2"/>
    <w:rsid w:val="00046FE5"/>
    <w:rsid w:val="00047C15"/>
    <w:rsid w:val="00047E02"/>
    <w:rsid w:val="00051076"/>
    <w:rsid w:val="000513D8"/>
    <w:rsid w:val="00051C0E"/>
    <w:rsid w:val="00052DA2"/>
    <w:rsid w:val="000532DB"/>
    <w:rsid w:val="0005340C"/>
    <w:rsid w:val="00054BD7"/>
    <w:rsid w:val="00054FA4"/>
    <w:rsid w:val="00055CD7"/>
    <w:rsid w:val="00056D38"/>
    <w:rsid w:val="000605ED"/>
    <w:rsid w:val="0006082E"/>
    <w:rsid w:val="00060A93"/>
    <w:rsid w:val="00060AF7"/>
    <w:rsid w:val="000615BF"/>
    <w:rsid w:val="00062380"/>
    <w:rsid w:val="000629BD"/>
    <w:rsid w:val="00063017"/>
    <w:rsid w:val="00063892"/>
    <w:rsid w:val="0006398C"/>
    <w:rsid w:val="0006431C"/>
    <w:rsid w:val="00064D4C"/>
    <w:rsid w:val="00065B56"/>
    <w:rsid w:val="000675FC"/>
    <w:rsid w:val="0006799E"/>
    <w:rsid w:val="00070566"/>
    <w:rsid w:val="00070818"/>
    <w:rsid w:val="0007081A"/>
    <w:rsid w:val="00072CE6"/>
    <w:rsid w:val="00072F3F"/>
    <w:rsid w:val="00075382"/>
    <w:rsid w:val="000761A5"/>
    <w:rsid w:val="0007677C"/>
    <w:rsid w:val="00076990"/>
    <w:rsid w:val="00080005"/>
    <w:rsid w:val="00080C74"/>
    <w:rsid w:val="0008133C"/>
    <w:rsid w:val="00081D5A"/>
    <w:rsid w:val="0008265C"/>
    <w:rsid w:val="00082A1F"/>
    <w:rsid w:val="00082AE1"/>
    <w:rsid w:val="000830DE"/>
    <w:rsid w:val="00083B26"/>
    <w:rsid w:val="00083D48"/>
    <w:rsid w:val="000841E0"/>
    <w:rsid w:val="00086607"/>
    <w:rsid w:val="0008767A"/>
    <w:rsid w:val="00087AAD"/>
    <w:rsid w:val="00087EAE"/>
    <w:rsid w:val="0009013A"/>
    <w:rsid w:val="000907B3"/>
    <w:rsid w:val="00090841"/>
    <w:rsid w:val="000924CA"/>
    <w:rsid w:val="00094E0D"/>
    <w:rsid w:val="0009664D"/>
    <w:rsid w:val="00096E83"/>
    <w:rsid w:val="0009744C"/>
    <w:rsid w:val="000975E1"/>
    <w:rsid w:val="00097CF9"/>
    <w:rsid w:val="000A016F"/>
    <w:rsid w:val="000A3208"/>
    <w:rsid w:val="000A3984"/>
    <w:rsid w:val="000A41BC"/>
    <w:rsid w:val="000A58A2"/>
    <w:rsid w:val="000A5AE7"/>
    <w:rsid w:val="000A7B07"/>
    <w:rsid w:val="000A7CB1"/>
    <w:rsid w:val="000B1A7A"/>
    <w:rsid w:val="000B1E38"/>
    <w:rsid w:val="000B3803"/>
    <w:rsid w:val="000B518E"/>
    <w:rsid w:val="000B6E7D"/>
    <w:rsid w:val="000B761F"/>
    <w:rsid w:val="000B7FCC"/>
    <w:rsid w:val="000C11AB"/>
    <w:rsid w:val="000C159C"/>
    <w:rsid w:val="000C216A"/>
    <w:rsid w:val="000C32DA"/>
    <w:rsid w:val="000C3A50"/>
    <w:rsid w:val="000C4908"/>
    <w:rsid w:val="000C5853"/>
    <w:rsid w:val="000C59FF"/>
    <w:rsid w:val="000C5B7C"/>
    <w:rsid w:val="000C60AF"/>
    <w:rsid w:val="000C7229"/>
    <w:rsid w:val="000C75A6"/>
    <w:rsid w:val="000C7A29"/>
    <w:rsid w:val="000C7F73"/>
    <w:rsid w:val="000D14A0"/>
    <w:rsid w:val="000D2402"/>
    <w:rsid w:val="000D2611"/>
    <w:rsid w:val="000D598A"/>
    <w:rsid w:val="000E0D32"/>
    <w:rsid w:val="000E10DE"/>
    <w:rsid w:val="000E1754"/>
    <w:rsid w:val="000E1872"/>
    <w:rsid w:val="000E1EAC"/>
    <w:rsid w:val="000E1F0E"/>
    <w:rsid w:val="000E2EF1"/>
    <w:rsid w:val="000E325C"/>
    <w:rsid w:val="000E3788"/>
    <w:rsid w:val="000E398F"/>
    <w:rsid w:val="000E44D8"/>
    <w:rsid w:val="000E5477"/>
    <w:rsid w:val="000E6D9D"/>
    <w:rsid w:val="000E6F83"/>
    <w:rsid w:val="000E7513"/>
    <w:rsid w:val="000F0B08"/>
    <w:rsid w:val="000F0FAD"/>
    <w:rsid w:val="000F1432"/>
    <w:rsid w:val="000F3014"/>
    <w:rsid w:val="000F428E"/>
    <w:rsid w:val="000F55F8"/>
    <w:rsid w:val="000F58FD"/>
    <w:rsid w:val="000F5F70"/>
    <w:rsid w:val="000F64BA"/>
    <w:rsid w:val="000F6768"/>
    <w:rsid w:val="000F680C"/>
    <w:rsid w:val="000F7CC4"/>
    <w:rsid w:val="001001B4"/>
    <w:rsid w:val="001008D6"/>
    <w:rsid w:val="00101460"/>
    <w:rsid w:val="001028FA"/>
    <w:rsid w:val="00103A29"/>
    <w:rsid w:val="00103D8E"/>
    <w:rsid w:val="00104231"/>
    <w:rsid w:val="00104B39"/>
    <w:rsid w:val="0010625B"/>
    <w:rsid w:val="001062D1"/>
    <w:rsid w:val="0010692B"/>
    <w:rsid w:val="00107282"/>
    <w:rsid w:val="00107E70"/>
    <w:rsid w:val="00110613"/>
    <w:rsid w:val="00111247"/>
    <w:rsid w:val="00112CF0"/>
    <w:rsid w:val="00114458"/>
    <w:rsid w:val="0011448D"/>
    <w:rsid w:val="00114B36"/>
    <w:rsid w:val="001159FA"/>
    <w:rsid w:val="00116236"/>
    <w:rsid w:val="001168A6"/>
    <w:rsid w:val="00117AE4"/>
    <w:rsid w:val="00117CF1"/>
    <w:rsid w:val="00120D4D"/>
    <w:rsid w:val="001244E2"/>
    <w:rsid w:val="00126C2C"/>
    <w:rsid w:val="00126CC6"/>
    <w:rsid w:val="00126D90"/>
    <w:rsid w:val="001271EB"/>
    <w:rsid w:val="00127E5B"/>
    <w:rsid w:val="00127F9D"/>
    <w:rsid w:val="0013001F"/>
    <w:rsid w:val="00130825"/>
    <w:rsid w:val="001315A1"/>
    <w:rsid w:val="00133845"/>
    <w:rsid w:val="001339C4"/>
    <w:rsid w:val="00133C49"/>
    <w:rsid w:val="001345CD"/>
    <w:rsid w:val="0013496D"/>
    <w:rsid w:val="00136D09"/>
    <w:rsid w:val="001407D8"/>
    <w:rsid w:val="00142890"/>
    <w:rsid w:val="00142C44"/>
    <w:rsid w:val="00142D8D"/>
    <w:rsid w:val="00142EE5"/>
    <w:rsid w:val="001458AA"/>
    <w:rsid w:val="001465B9"/>
    <w:rsid w:val="001467ED"/>
    <w:rsid w:val="001471C6"/>
    <w:rsid w:val="00147582"/>
    <w:rsid w:val="00150467"/>
    <w:rsid w:val="0015089D"/>
    <w:rsid w:val="00150EDB"/>
    <w:rsid w:val="001521F0"/>
    <w:rsid w:val="00153296"/>
    <w:rsid w:val="0015475C"/>
    <w:rsid w:val="00156100"/>
    <w:rsid w:val="00157D25"/>
    <w:rsid w:val="001645A3"/>
    <w:rsid w:val="00164BF1"/>
    <w:rsid w:val="00164F22"/>
    <w:rsid w:val="001652F9"/>
    <w:rsid w:val="00165B1F"/>
    <w:rsid w:val="001670E0"/>
    <w:rsid w:val="001675BF"/>
    <w:rsid w:val="0017047E"/>
    <w:rsid w:val="00171623"/>
    <w:rsid w:val="00171C04"/>
    <w:rsid w:val="001725A5"/>
    <w:rsid w:val="0017276F"/>
    <w:rsid w:val="00172F67"/>
    <w:rsid w:val="00172F8C"/>
    <w:rsid w:val="001737D0"/>
    <w:rsid w:val="00173BB0"/>
    <w:rsid w:val="00174423"/>
    <w:rsid w:val="00174A13"/>
    <w:rsid w:val="00175BB2"/>
    <w:rsid w:val="0017667D"/>
    <w:rsid w:val="00177548"/>
    <w:rsid w:val="00177741"/>
    <w:rsid w:val="00180EFC"/>
    <w:rsid w:val="0018285A"/>
    <w:rsid w:val="00182B75"/>
    <w:rsid w:val="00182DB2"/>
    <w:rsid w:val="00183124"/>
    <w:rsid w:val="00183E95"/>
    <w:rsid w:val="00185D59"/>
    <w:rsid w:val="0018678F"/>
    <w:rsid w:val="001910C9"/>
    <w:rsid w:val="00191987"/>
    <w:rsid w:val="001928A2"/>
    <w:rsid w:val="00193C8E"/>
    <w:rsid w:val="00193DD2"/>
    <w:rsid w:val="0019457B"/>
    <w:rsid w:val="001947C3"/>
    <w:rsid w:val="00194C1A"/>
    <w:rsid w:val="00194FFE"/>
    <w:rsid w:val="00195321"/>
    <w:rsid w:val="0019563C"/>
    <w:rsid w:val="0019579F"/>
    <w:rsid w:val="0019696D"/>
    <w:rsid w:val="00196981"/>
    <w:rsid w:val="001A18C2"/>
    <w:rsid w:val="001A1A02"/>
    <w:rsid w:val="001A1C4B"/>
    <w:rsid w:val="001A2718"/>
    <w:rsid w:val="001A28FA"/>
    <w:rsid w:val="001A3535"/>
    <w:rsid w:val="001A3C43"/>
    <w:rsid w:val="001A5183"/>
    <w:rsid w:val="001A5B0B"/>
    <w:rsid w:val="001A67E2"/>
    <w:rsid w:val="001A7122"/>
    <w:rsid w:val="001A798F"/>
    <w:rsid w:val="001B06ED"/>
    <w:rsid w:val="001B132E"/>
    <w:rsid w:val="001B2E94"/>
    <w:rsid w:val="001B42F7"/>
    <w:rsid w:val="001B4CA6"/>
    <w:rsid w:val="001B61FA"/>
    <w:rsid w:val="001B79D7"/>
    <w:rsid w:val="001C0F50"/>
    <w:rsid w:val="001C1AC9"/>
    <w:rsid w:val="001C1C8F"/>
    <w:rsid w:val="001C1E57"/>
    <w:rsid w:val="001C2338"/>
    <w:rsid w:val="001C2B00"/>
    <w:rsid w:val="001C44B6"/>
    <w:rsid w:val="001C4B89"/>
    <w:rsid w:val="001C4E0D"/>
    <w:rsid w:val="001C54CE"/>
    <w:rsid w:val="001C5FBD"/>
    <w:rsid w:val="001C6CCB"/>
    <w:rsid w:val="001C7C86"/>
    <w:rsid w:val="001D0707"/>
    <w:rsid w:val="001D08D7"/>
    <w:rsid w:val="001D0D0F"/>
    <w:rsid w:val="001D1A1B"/>
    <w:rsid w:val="001D1FF6"/>
    <w:rsid w:val="001D2D1D"/>
    <w:rsid w:val="001D2E42"/>
    <w:rsid w:val="001D30C9"/>
    <w:rsid w:val="001D35C9"/>
    <w:rsid w:val="001D3D15"/>
    <w:rsid w:val="001D40CE"/>
    <w:rsid w:val="001D4794"/>
    <w:rsid w:val="001D528E"/>
    <w:rsid w:val="001D5323"/>
    <w:rsid w:val="001D5AA9"/>
    <w:rsid w:val="001D5E36"/>
    <w:rsid w:val="001D5E9F"/>
    <w:rsid w:val="001D64B2"/>
    <w:rsid w:val="001D6BF6"/>
    <w:rsid w:val="001D7174"/>
    <w:rsid w:val="001E2C47"/>
    <w:rsid w:val="001E37AB"/>
    <w:rsid w:val="001E3871"/>
    <w:rsid w:val="001E404E"/>
    <w:rsid w:val="001E50F1"/>
    <w:rsid w:val="001E5791"/>
    <w:rsid w:val="001E589E"/>
    <w:rsid w:val="001E5F55"/>
    <w:rsid w:val="001E6146"/>
    <w:rsid w:val="001E6711"/>
    <w:rsid w:val="001E6A60"/>
    <w:rsid w:val="001E7773"/>
    <w:rsid w:val="001E77E9"/>
    <w:rsid w:val="001F0D09"/>
    <w:rsid w:val="001F18CD"/>
    <w:rsid w:val="001F1EE0"/>
    <w:rsid w:val="001F30DC"/>
    <w:rsid w:val="001F3F6F"/>
    <w:rsid w:val="001F49A0"/>
    <w:rsid w:val="001F53E9"/>
    <w:rsid w:val="001F56C3"/>
    <w:rsid w:val="001F67FB"/>
    <w:rsid w:val="001F6944"/>
    <w:rsid w:val="001F699A"/>
    <w:rsid w:val="001F6C06"/>
    <w:rsid w:val="001F7022"/>
    <w:rsid w:val="001F717C"/>
    <w:rsid w:val="001F7376"/>
    <w:rsid w:val="001F75A5"/>
    <w:rsid w:val="001F7897"/>
    <w:rsid w:val="002021EB"/>
    <w:rsid w:val="002022E6"/>
    <w:rsid w:val="00202406"/>
    <w:rsid w:val="002024A2"/>
    <w:rsid w:val="00203D86"/>
    <w:rsid w:val="00203FE2"/>
    <w:rsid w:val="0020410A"/>
    <w:rsid w:val="00205557"/>
    <w:rsid w:val="00205C44"/>
    <w:rsid w:val="002063F8"/>
    <w:rsid w:val="00206932"/>
    <w:rsid w:val="00206B69"/>
    <w:rsid w:val="00207183"/>
    <w:rsid w:val="00207DF8"/>
    <w:rsid w:val="00210B40"/>
    <w:rsid w:val="002120D0"/>
    <w:rsid w:val="00212A4B"/>
    <w:rsid w:val="002134B7"/>
    <w:rsid w:val="00213EF1"/>
    <w:rsid w:val="0021452A"/>
    <w:rsid w:val="00214EA6"/>
    <w:rsid w:val="00216841"/>
    <w:rsid w:val="002179F2"/>
    <w:rsid w:val="00222F78"/>
    <w:rsid w:val="0022350C"/>
    <w:rsid w:val="00223C3D"/>
    <w:rsid w:val="00223E13"/>
    <w:rsid w:val="00225E93"/>
    <w:rsid w:val="00226278"/>
    <w:rsid w:val="00226406"/>
    <w:rsid w:val="002264EE"/>
    <w:rsid w:val="00227020"/>
    <w:rsid w:val="00227552"/>
    <w:rsid w:val="002279EA"/>
    <w:rsid w:val="00231CC4"/>
    <w:rsid w:val="00233A95"/>
    <w:rsid w:val="00233F95"/>
    <w:rsid w:val="00234384"/>
    <w:rsid w:val="002343C5"/>
    <w:rsid w:val="00235D00"/>
    <w:rsid w:val="002372E9"/>
    <w:rsid w:val="002378FB"/>
    <w:rsid w:val="00237BE0"/>
    <w:rsid w:val="00237DE9"/>
    <w:rsid w:val="00241278"/>
    <w:rsid w:val="0024157D"/>
    <w:rsid w:val="00241FB7"/>
    <w:rsid w:val="002420C5"/>
    <w:rsid w:val="0024255B"/>
    <w:rsid w:val="00246112"/>
    <w:rsid w:val="002461BD"/>
    <w:rsid w:val="00246ACB"/>
    <w:rsid w:val="002477D4"/>
    <w:rsid w:val="002507C1"/>
    <w:rsid w:val="00251707"/>
    <w:rsid w:val="00252F33"/>
    <w:rsid w:val="00253246"/>
    <w:rsid w:val="00254300"/>
    <w:rsid w:val="002554E0"/>
    <w:rsid w:val="00255860"/>
    <w:rsid w:val="00255D77"/>
    <w:rsid w:val="0025771C"/>
    <w:rsid w:val="00257882"/>
    <w:rsid w:val="00261125"/>
    <w:rsid w:val="00261DD8"/>
    <w:rsid w:val="00262FBC"/>
    <w:rsid w:val="0026325E"/>
    <w:rsid w:val="002633CE"/>
    <w:rsid w:val="00263691"/>
    <w:rsid w:val="002638E8"/>
    <w:rsid w:val="002643B7"/>
    <w:rsid w:val="002643C2"/>
    <w:rsid w:val="002657B6"/>
    <w:rsid w:val="002665A9"/>
    <w:rsid w:val="00267E7E"/>
    <w:rsid w:val="002704A0"/>
    <w:rsid w:val="0027260C"/>
    <w:rsid w:val="0027456F"/>
    <w:rsid w:val="0027493D"/>
    <w:rsid w:val="00274947"/>
    <w:rsid w:val="002762FB"/>
    <w:rsid w:val="00276D95"/>
    <w:rsid w:val="002775D9"/>
    <w:rsid w:val="00280B50"/>
    <w:rsid w:val="00280E68"/>
    <w:rsid w:val="00281858"/>
    <w:rsid w:val="002829A9"/>
    <w:rsid w:val="002878AF"/>
    <w:rsid w:val="0029024D"/>
    <w:rsid w:val="0029035B"/>
    <w:rsid w:val="00290995"/>
    <w:rsid w:val="00291323"/>
    <w:rsid w:val="002917BD"/>
    <w:rsid w:val="002927AB"/>
    <w:rsid w:val="00292A22"/>
    <w:rsid w:val="002931BA"/>
    <w:rsid w:val="00293AB7"/>
    <w:rsid w:val="002948D4"/>
    <w:rsid w:val="00294CB1"/>
    <w:rsid w:val="00295046"/>
    <w:rsid w:val="00295B80"/>
    <w:rsid w:val="00295E98"/>
    <w:rsid w:val="002960C2"/>
    <w:rsid w:val="002A09E0"/>
    <w:rsid w:val="002A289E"/>
    <w:rsid w:val="002A3571"/>
    <w:rsid w:val="002A37D0"/>
    <w:rsid w:val="002A3F95"/>
    <w:rsid w:val="002A50CE"/>
    <w:rsid w:val="002A5640"/>
    <w:rsid w:val="002A618C"/>
    <w:rsid w:val="002A6DE1"/>
    <w:rsid w:val="002B14C3"/>
    <w:rsid w:val="002B194F"/>
    <w:rsid w:val="002B1F8A"/>
    <w:rsid w:val="002B2C02"/>
    <w:rsid w:val="002B2E68"/>
    <w:rsid w:val="002B3048"/>
    <w:rsid w:val="002B453E"/>
    <w:rsid w:val="002B4C42"/>
    <w:rsid w:val="002B638B"/>
    <w:rsid w:val="002B7532"/>
    <w:rsid w:val="002B7CD3"/>
    <w:rsid w:val="002C025D"/>
    <w:rsid w:val="002C1148"/>
    <w:rsid w:val="002C1CF5"/>
    <w:rsid w:val="002C1DB4"/>
    <w:rsid w:val="002C515C"/>
    <w:rsid w:val="002C6697"/>
    <w:rsid w:val="002C7292"/>
    <w:rsid w:val="002C7F82"/>
    <w:rsid w:val="002D0218"/>
    <w:rsid w:val="002D063D"/>
    <w:rsid w:val="002D21FD"/>
    <w:rsid w:val="002D488F"/>
    <w:rsid w:val="002D500D"/>
    <w:rsid w:val="002D504E"/>
    <w:rsid w:val="002D51CC"/>
    <w:rsid w:val="002D6A56"/>
    <w:rsid w:val="002D6F27"/>
    <w:rsid w:val="002E10C5"/>
    <w:rsid w:val="002E15D4"/>
    <w:rsid w:val="002E18EF"/>
    <w:rsid w:val="002E300E"/>
    <w:rsid w:val="002E4281"/>
    <w:rsid w:val="002E4912"/>
    <w:rsid w:val="002E4B81"/>
    <w:rsid w:val="002E617E"/>
    <w:rsid w:val="002E74AA"/>
    <w:rsid w:val="002E75DF"/>
    <w:rsid w:val="002E7FBE"/>
    <w:rsid w:val="002F0B1C"/>
    <w:rsid w:val="002F2A3C"/>
    <w:rsid w:val="002F365A"/>
    <w:rsid w:val="002F6144"/>
    <w:rsid w:val="00300CAE"/>
    <w:rsid w:val="00300CF9"/>
    <w:rsid w:val="00300EEF"/>
    <w:rsid w:val="003028C4"/>
    <w:rsid w:val="003029AC"/>
    <w:rsid w:val="00302A98"/>
    <w:rsid w:val="0030633F"/>
    <w:rsid w:val="00306E16"/>
    <w:rsid w:val="00310FD9"/>
    <w:rsid w:val="00311ABE"/>
    <w:rsid w:val="0031258A"/>
    <w:rsid w:val="0031284D"/>
    <w:rsid w:val="00312A21"/>
    <w:rsid w:val="00312AC7"/>
    <w:rsid w:val="00313657"/>
    <w:rsid w:val="0031463C"/>
    <w:rsid w:val="00315929"/>
    <w:rsid w:val="003172EF"/>
    <w:rsid w:val="00317E64"/>
    <w:rsid w:val="00320480"/>
    <w:rsid w:val="003205F4"/>
    <w:rsid w:val="00322555"/>
    <w:rsid w:val="0032257B"/>
    <w:rsid w:val="0032283E"/>
    <w:rsid w:val="00324003"/>
    <w:rsid w:val="003247C9"/>
    <w:rsid w:val="003249CC"/>
    <w:rsid w:val="00324D75"/>
    <w:rsid w:val="003250C1"/>
    <w:rsid w:val="0032538A"/>
    <w:rsid w:val="00325E47"/>
    <w:rsid w:val="00327671"/>
    <w:rsid w:val="00327F14"/>
    <w:rsid w:val="00331A15"/>
    <w:rsid w:val="00331AD9"/>
    <w:rsid w:val="003322C2"/>
    <w:rsid w:val="00332D1A"/>
    <w:rsid w:val="00333C85"/>
    <w:rsid w:val="0033407C"/>
    <w:rsid w:val="0033432A"/>
    <w:rsid w:val="00335C20"/>
    <w:rsid w:val="003400D6"/>
    <w:rsid w:val="00340AAE"/>
    <w:rsid w:val="00340DAE"/>
    <w:rsid w:val="003416B2"/>
    <w:rsid w:val="00341A9D"/>
    <w:rsid w:val="00342FF2"/>
    <w:rsid w:val="003431F7"/>
    <w:rsid w:val="0034386A"/>
    <w:rsid w:val="00343A9A"/>
    <w:rsid w:val="003444D0"/>
    <w:rsid w:val="00345823"/>
    <w:rsid w:val="00345C7E"/>
    <w:rsid w:val="003475DA"/>
    <w:rsid w:val="00347753"/>
    <w:rsid w:val="003477A0"/>
    <w:rsid w:val="00347CCE"/>
    <w:rsid w:val="00350498"/>
    <w:rsid w:val="0035153C"/>
    <w:rsid w:val="00353EAA"/>
    <w:rsid w:val="00355217"/>
    <w:rsid w:val="003552D9"/>
    <w:rsid w:val="00356A8C"/>
    <w:rsid w:val="00356B1A"/>
    <w:rsid w:val="00356C41"/>
    <w:rsid w:val="003574E2"/>
    <w:rsid w:val="00360A44"/>
    <w:rsid w:val="003612AF"/>
    <w:rsid w:val="00363655"/>
    <w:rsid w:val="00365210"/>
    <w:rsid w:val="00365E61"/>
    <w:rsid w:val="00370919"/>
    <w:rsid w:val="00370BCB"/>
    <w:rsid w:val="00371EF9"/>
    <w:rsid w:val="0037205D"/>
    <w:rsid w:val="00372D0B"/>
    <w:rsid w:val="0037381D"/>
    <w:rsid w:val="003745CC"/>
    <w:rsid w:val="00374BF3"/>
    <w:rsid w:val="00374FFE"/>
    <w:rsid w:val="00375CE0"/>
    <w:rsid w:val="00380309"/>
    <w:rsid w:val="00380629"/>
    <w:rsid w:val="00380C21"/>
    <w:rsid w:val="003821B7"/>
    <w:rsid w:val="00382827"/>
    <w:rsid w:val="00382FF0"/>
    <w:rsid w:val="00383395"/>
    <w:rsid w:val="00383E72"/>
    <w:rsid w:val="00384DFD"/>
    <w:rsid w:val="003872C3"/>
    <w:rsid w:val="00390ACB"/>
    <w:rsid w:val="0039364E"/>
    <w:rsid w:val="00393F43"/>
    <w:rsid w:val="00394148"/>
    <w:rsid w:val="00394159"/>
    <w:rsid w:val="003947A2"/>
    <w:rsid w:val="003949DA"/>
    <w:rsid w:val="00394B5B"/>
    <w:rsid w:val="00395399"/>
    <w:rsid w:val="00395F15"/>
    <w:rsid w:val="003979AC"/>
    <w:rsid w:val="003A093D"/>
    <w:rsid w:val="003A1229"/>
    <w:rsid w:val="003A1EC2"/>
    <w:rsid w:val="003A200C"/>
    <w:rsid w:val="003A2C07"/>
    <w:rsid w:val="003A316F"/>
    <w:rsid w:val="003A3D3A"/>
    <w:rsid w:val="003A6963"/>
    <w:rsid w:val="003A6A9F"/>
    <w:rsid w:val="003A7094"/>
    <w:rsid w:val="003A70AA"/>
    <w:rsid w:val="003B0697"/>
    <w:rsid w:val="003B0958"/>
    <w:rsid w:val="003B0DCF"/>
    <w:rsid w:val="003B23BC"/>
    <w:rsid w:val="003B2427"/>
    <w:rsid w:val="003B3867"/>
    <w:rsid w:val="003B53DF"/>
    <w:rsid w:val="003B58B1"/>
    <w:rsid w:val="003B62D4"/>
    <w:rsid w:val="003B6D1D"/>
    <w:rsid w:val="003B76FC"/>
    <w:rsid w:val="003C00D3"/>
    <w:rsid w:val="003C08E7"/>
    <w:rsid w:val="003C0D6A"/>
    <w:rsid w:val="003C23EC"/>
    <w:rsid w:val="003C27BC"/>
    <w:rsid w:val="003C2F1D"/>
    <w:rsid w:val="003C337E"/>
    <w:rsid w:val="003C49CD"/>
    <w:rsid w:val="003C5CC6"/>
    <w:rsid w:val="003C72C7"/>
    <w:rsid w:val="003C7DB6"/>
    <w:rsid w:val="003D11B1"/>
    <w:rsid w:val="003D4859"/>
    <w:rsid w:val="003D50D4"/>
    <w:rsid w:val="003D5371"/>
    <w:rsid w:val="003D5453"/>
    <w:rsid w:val="003D74FC"/>
    <w:rsid w:val="003D7A4A"/>
    <w:rsid w:val="003E0108"/>
    <w:rsid w:val="003E0508"/>
    <w:rsid w:val="003E1042"/>
    <w:rsid w:val="003E16E5"/>
    <w:rsid w:val="003E172D"/>
    <w:rsid w:val="003E199A"/>
    <w:rsid w:val="003E222D"/>
    <w:rsid w:val="003E2304"/>
    <w:rsid w:val="003E255B"/>
    <w:rsid w:val="003E3DC3"/>
    <w:rsid w:val="003E43C5"/>
    <w:rsid w:val="003E4D5B"/>
    <w:rsid w:val="003E521C"/>
    <w:rsid w:val="003E60E9"/>
    <w:rsid w:val="003E6583"/>
    <w:rsid w:val="003E6B7B"/>
    <w:rsid w:val="003E7809"/>
    <w:rsid w:val="003E7AAD"/>
    <w:rsid w:val="003F2B8B"/>
    <w:rsid w:val="003F3046"/>
    <w:rsid w:val="003F4D0E"/>
    <w:rsid w:val="003F63E8"/>
    <w:rsid w:val="003F6F64"/>
    <w:rsid w:val="003F778D"/>
    <w:rsid w:val="0040003A"/>
    <w:rsid w:val="0040037C"/>
    <w:rsid w:val="0040175B"/>
    <w:rsid w:val="00401EF2"/>
    <w:rsid w:val="00401F49"/>
    <w:rsid w:val="00402919"/>
    <w:rsid w:val="00402EDE"/>
    <w:rsid w:val="004033CB"/>
    <w:rsid w:val="00404135"/>
    <w:rsid w:val="00404857"/>
    <w:rsid w:val="004065B4"/>
    <w:rsid w:val="00407128"/>
    <w:rsid w:val="00407681"/>
    <w:rsid w:val="00410A3C"/>
    <w:rsid w:val="0041159D"/>
    <w:rsid w:val="00412D96"/>
    <w:rsid w:val="004141B8"/>
    <w:rsid w:val="00416A4B"/>
    <w:rsid w:val="00416E70"/>
    <w:rsid w:val="00420418"/>
    <w:rsid w:val="00420B95"/>
    <w:rsid w:val="00420ED6"/>
    <w:rsid w:val="00422C1D"/>
    <w:rsid w:val="00423BF4"/>
    <w:rsid w:val="00424207"/>
    <w:rsid w:val="00425553"/>
    <w:rsid w:val="00425C8D"/>
    <w:rsid w:val="00426F69"/>
    <w:rsid w:val="00430F2A"/>
    <w:rsid w:val="00431A88"/>
    <w:rsid w:val="00431E44"/>
    <w:rsid w:val="0043219E"/>
    <w:rsid w:val="00435317"/>
    <w:rsid w:val="00436716"/>
    <w:rsid w:val="0043681E"/>
    <w:rsid w:val="00437933"/>
    <w:rsid w:val="004379B3"/>
    <w:rsid w:val="00437E22"/>
    <w:rsid w:val="00440307"/>
    <w:rsid w:val="00441C24"/>
    <w:rsid w:val="004433A8"/>
    <w:rsid w:val="00443D6B"/>
    <w:rsid w:val="00444F87"/>
    <w:rsid w:val="004455EE"/>
    <w:rsid w:val="00446099"/>
    <w:rsid w:val="004460A5"/>
    <w:rsid w:val="00446530"/>
    <w:rsid w:val="004466C2"/>
    <w:rsid w:val="00450A81"/>
    <w:rsid w:val="0045120D"/>
    <w:rsid w:val="00451212"/>
    <w:rsid w:val="004535CB"/>
    <w:rsid w:val="004552D0"/>
    <w:rsid w:val="00456558"/>
    <w:rsid w:val="004568BF"/>
    <w:rsid w:val="00457888"/>
    <w:rsid w:val="00457D11"/>
    <w:rsid w:val="00457E7E"/>
    <w:rsid w:val="004608EB"/>
    <w:rsid w:val="004613B8"/>
    <w:rsid w:val="00461C65"/>
    <w:rsid w:val="0046294B"/>
    <w:rsid w:val="004637AA"/>
    <w:rsid w:val="00463D23"/>
    <w:rsid w:val="004659FC"/>
    <w:rsid w:val="00470BE2"/>
    <w:rsid w:val="0047315F"/>
    <w:rsid w:val="00473279"/>
    <w:rsid w:val="0047461E"/>
    <w:rsid w:val="00475D54"/>
    <w:rsid w:val="00475F4B"/>
    <w:rsid w:val="00476087"/>
    <w:rsid w:val="0047668D"/>
    <w:rsid w:val="00477BAD"/>
    <w:rsid w:val="00480687"/>
    <w:rsid w:val="00481510"/>
    <w:rsid w:val="00481525"/>
    <w:rsid w:val="00481BA1"/>
    <w:rsid w:val="00482B3F"/>
    <w:rsid w:val="00485C33"/>
    <w:rsid w:val="00487AF8"/>
    <w:rsid w:val="00487B78"/>
    <w:rsid w:val="004914B2"/>
    <w:rsid w:val="004920BD"/>
    <w:rsid w:val="00494782"/>
    <w:rsid w:val="00494D71"/>
    <w:rsid w:val="00495F39"/>
    <w:rsid w:val="00496327"/>
    <w:rsid w:val="0049754A"/>
    <w:rsid w:val="004A0840"/>
    <w:rsid w:val="004A10CE"/>
    <w:rsid w:val="004A1118"/>
    <w:rsid w:val="004A1154"/>
    <w:rsid w:val="004A23A4"/>
    <w:rsid w:val="004A23BB"/>
    <w:rsid w:val="004A2F95"/>
    <w:rsid w:val="004A4320"/>
    <w:rsid w:val="004A4391"/>
    <w:rsid w:val="004A4691"/>
    <w:rsid w:val="004A4CC4"/>
    <w:rsid w:val="004A628B"/>
    <w:rsid w:val="004A6736"/>
    <w:rsid w:val="004A6BD8"/>
    <w:rsid w:val="004A78D1"/>
    <w:rsid w:val="004B147A"/>
    <w:rsid w:val="004B20BC"/>
    <w:rsid w:val="004B3194"/>
    <w:rsid w:val="004B3429"/>
    <w:rsid w:val="004B4182"/>
    <w:rsid w:val="004B45C8"/>
    <w:rsid w:val="004B4B95"/>
    <w:rsid w:val="004B4CC7"/>
    <w:rsid w:val="004B503C"/>
    <w:rsid w:val="004B601C"/>
    <w:rsid w:val="004B625E"/>
    <w:rsid w:val="004B6434"/>
    <w:rsid w:val="004B7F6B"/>
    <w:rsid w:val="004C032C"/>
    <w:rsid w:val="004C0603"/>
    <w:rsid w:val="004C3175"/>
    <w:rsid w:val="004C33E3"/>
    <w:rsid w:val="004C43B5"/>
    <w:rsid w:val="004C460E"/>
    <w:rsid w:val="004C47D7"/>
    <w:rsid w:val="004C4D6A"/>
    <w:rsid w:val="004C4F23"/>
    <w:rsid w:val="004C5763"/>
    <w:rsid w:val="004C6279"/>
    <w:rsid w:val="004C62FC"/>
    <w:rsid w:val="004C6358"/>
    <w:rsid w:val="004C6907"/>
    <w:rsid w:val="004C6ECB"/>
    <w:rsid w:val="004D0893"/>
    <w:rsid w:val="004D0E94"/>
    <w:rsid w:val="004D4A80"/>
    <w:rsid w:val="004D5150"/>
    <w:rsid w:val="004D519A"/>
    <w:rsid w:val="004D5D3A"/>
    <w:rsid w:val="004D5E1A"/>
    <w:rsid w:val="004D7F59"/>
    <w:rsid w:val="004E1842"/>
    <w:rsid w:val="004E19CC"/>
    <w:rsid w:val="004E1C40"/>
    <w:rsid w:val="004E3071"/>
    <w:rsid w:val="004E5C17"/>
    <w:rsid w:val="004E6C4D"/>
    <w:rsid w:val="004E6E40"/>
    <w:rsid w:val="004E731D"/>
    <w:rsid w:val="004E747C"/>
    <w:rsid w:val="004E74CE"/>
    <w:rsid w:val="004E76A2"/>
    <w:rsid w:val="004F0A7F"/>
    <w:rsid w:val="004F1DCD"/>
    <w:rsid w:val="004F260F"/>
    <w:rsid w:val="004F2961"/>
    <w:rsid w:val="004F312F"/>
    <w:rsid w:val="004F51F0"/>
    <w:rsid w:val="004F5A3A"/>
    <w:rsid w:val="004F6C93"/>
    <w:rsid w:val="004F7987"/>
    <w:rsid w:val="005009EC"/>
    <w:rsid w:val="00500DD5"/>
    <w:rsid w:val="00501A98"/>
    <w:rsid w:val="00501EC2"/>
    <w:rsid w:val="0050226E"/>
    <w:rsid w:val="0050318A"/>
    <w:rsid w:val="00504A75"/>
    <w:rsid w:val="00504B7D"/>
    <w:rsid w:val="00506B3B"/>
    <w:rsid w:val="00507ED8"/>
    <w:rsid w:val="00510584"/>
    <w:rsid w:val="00510A8E"/>
    <w:rsid w:val="00510F9B"/>
    <w:rsid w:val="0051214D"/>
    <w:rsid w:val="005125EA"/>
    <w:rsid w:val="00514F31"/>
    <w:rsid w:val="005165B8"/>
    <w:rsid w:val="00516947"/>
    <w:rsid w:val="005202A1"/>
    <w:rsid w:val="00520EF3"/>
    <w:rsid w:val="00521E5B"/>
    <w:rsid w:val="00522582"/>
    <w:rsid w:val="00522D29"/>
    <w:rsid w:val="005245DF"/>
    <w:rsid w:val="00524F15"/>
    <w:rsid w:val="00524F9F"/>
    <w:rsid w:val="00525767"/>
    <w:rsid w:val="0052601D"/>
    <w:rsid w:val="005266D9"/>
    <w:rsid w:val="005277D1"/>
    <w:rsid w:val="00530813"/>
    <w:rsid w:val="00532887"/>
    <w:rsid w:val="0053441D"/>
    <w:rsid w:val="0053572C"/>
    <w:rsid w:val="00536E16"/>
    <w:rsid w:val="005403BB"/>
    <w:rsid w:val="00540DCA"/>
    <w:rsid w:val="0054145F"/>
    <w:rsid w:val="00541B1B"/>
    <w:rsid w:val="00541B9F"/>
    <w:rsid w:val="00541C8F"/>
    <w:rsid w:val="00542178"/>
    <w:rsid w:val="00542686"/>
    <w:rsid w:val="005435BA"/>
    <w:rsid w:val="0054433C"/>
    <w:rsid w:val="00544A0B"/>
    <w:rsid w:val="005452F6"/>
    <w:rsid w:val="005453FA"/>
    <w:rsid w:val="005459CB"/>
    <w:rsid w:val="00545B5D"/>
    <w:rsid w:val="005461B4"/>
    <w:rsid w:val="005472AD"/>
    <w:rsid w:val="0055053D"/>
    <w:rsid w:val="00553054"/>
    <w:rsid w:val="00553A9E"/>
    <w:rsid w:val="00555B49"/>
    <w:rsid w:val="00555DE1"/>
    <w:rsid w:val="00556A4A"/>
    <w:rsid w:val="0055743D"/>
    <w:rsid w:val="00557522"/>
    <w:rsid w:val="005622F3"/>
    <w:rsid w:val="0056278F"/>
    <w:rsid w:val="00564851"/>
    <w:rsid w:val="00565427"/>
    <w:rsid w:val="005657F8"/>
    <w:rsid w:val="00567C81"/>
    <w:rsid w:val="0057055A"/>
    <w:rsid w:val="00570BB2"/>
    <w:rsid w:val="00570ED3"/>
    <w:rsid w:val="00571202"/>
    <w:rsid w:val="00573980"/>
    <w:rsid w:val="00574608"/>
    <w:rsid w:val="00575593"/>
    <w:rsid w:val="0057672F"/>
    <w:rsid w:val="00577044"/>
    <w:rsid w:val="005770CB"/>
    <w:rsid w:val="00577250"/>
    <w:rsid w:val="00577AEA"/>
    <w:rsid w:val="00580B70"/>
    <w:rsid w:val="00580D25"/>
    <w:rsid w:val="00580E76"/>
    <w:rsid w:val="00581153"/>
    <w:rsid w:val="0058141F"/>
    <w:rsid w:val="00581852"/>
    <w:rsid w:val="005827D2"/>
    <w:rsid w:val="00582D20"/>
    <w:rsid w:val="005836B4"/>
    <w:rsid w:val="00586CF1"/>
    <w:rsid w:val="005875EB"/>
    <w:rsid w:val="00587A58"/>
    <w:rsid w:val="00587EF6"/>
    <w:rsid w:val="00590E0C"/>
    <w:rsid w:val="005919B4"/>
    <w:rsid w:val="00592F07"/>
    <w:rsid w:val="005932BA"/>
    <w:rsid w:val="005940B2"/>
    <w:rsid w:val="00594E9C"/>
    <w:rsid w:val="00597374"/>
    <w:rsid w:val="005A01F5"/>
    <w:rsid w:val="005A0920"/>
    <w:rsid w:val="005A2E33"/>
    <w:rsid w:val="005A2EAE"/>
    <w:rsid w:val="005A3976"/>
    <w:rsid w:val="005B0CCD"/>
    <w:rsid w:val="005B3660"/>
    <w:rsid w:val="005B3AC4"/>
    <w:rsid w:val="005B4AE4"/>
    <w:rsid w:val="005B4C61"/>
    <w:rsid w:val="005B5188"/>
    <w:rsid w:val="005B61E8"/>
    <w:rsid w:val="005B7361"/>
    <w:rsid w:val="005C0137"/>
    <w:rsid w:val="005C0BB7"/>
    <w:rsid w:val="005C1E7D"/>
    <w:rsid w:val="005C2B4E"/>
    <w:rsid w:val="005C3169"/>
    <w:rsid w:val="005C338E"/>
    <w:rsid w:val="005C38DA"/>
    <w:rsid w:val="005C4801"/>
    <w:rsid w:val="005C62B2"/>
    <w:rsid w:val="005C6858"/>
    <w:rsid w:val="005C6FDF"/>
    <w:rsid w:val="005C7371"/>
    <w:rsid w:val="005D08EE"/>
    <w:rsid w:val="005D0F0B"/>
    <w:rsid w:val="005D23D6"/>
    <w:rsid w:val="005D3284"/>
    <w:rsid w:val="005D400C"/>
    <w:rsid w:val="005D48FE"/>
    <w:rsid w:val="005D4A41"/>
    <w:rsid w:val="005D5BE9"/>
    <w:rsid w:val="005D5E3C"/>
    <w:rsid w:val="005E0093"/>
    <w:rsid w:val="005E02E0"/>
    <w:rsid w:val="005E10B2"/>
    <w:rsid w:val="005E1EC9"/>
    <w:rsid w:val="005E3A70"/>
    <w:rsid w:val="005E489F"/>
    <w:rsid w:val="005E7852"/>
    <w:rsid w:val="005F0E2B"/>
    <w:rsid w:val="005F2844"/>
    <w:rsid w:val="005F3470"/>
    <w:rsid w:val="005F3714"/>
    <w:rsid w:val="005F5A7E"/>
    <w:rsid w:val="005F7608"/>
    <w:rsid w:val="00600D18"/>
    <w:rsid w:val="0060334B"/>
    <w:rsid w:val="00603457"/>
    <w:rsid w:val="00603629"/>
    <w:rsid w:val="00604014"/>
    <w:rsid w:val="00604308"/>
    <w:rsid w:val="006049D3"/>
    <w:rsid w:val="00604C03"/>
    <w:rsid w:val="006057B4"/>
    <w:rsid w:val="006068D8"/>
    <w:rsid w:val="006102E6"/>
    <w:rsid w:val="00612259"/>
    <w:rsid w:val="006138A7"/>
    <w:rsid w:val="006143FF"/>
    <w:rsid w:val="00614405"/>
    <w:rsid w:val="00614995"/>
    <w:rsid w:val="00614BD0"/>
    <w:rsid w:val="00617019"/>
    <w:rsid w:val="00620CB7"/>
    <w:rsid w:val="006225A2"/>
    <w:rsid w:val="00624906"/>
    <w:rsid w:val="00625108"/>
    <w:rsid w:val="006251CC"/>
    <w:rsid w:val="006273B4"/>
    <w:rsid w:val="00631A1E"/>
    <w:rsid w:val="00631A8E"/>
    <w:rsid w:val="0063242B"/>
    <w:rsid w:val="006338AA"/>
    <w:rsid w:val="00634106"/>
    <w:rsid w:val="006353CA"/>
    <w:rsid w:val="006366B7"/>
    <w:rsid w:val="006366EA"/>
    <w:rsid w:val="0063735C"/>
    <w:rsid w:val="0063791D"/>
    <w:rsid w:val="006422C8"/>
    <w:rsid w:val="006438E5"/>
    <w:rsid w:val="006443EE"/>
    <w:rsid w:val="00646438"/>
    <w:rsid w:val="006470DE"/>
    <w:rsid w:val="00647DD8"/>
    <w:rsid w:val="006505D8"/>
    <w:rsid w:val="00651221"/>
    <w:rsid w:val="00651E33"/>
    <w:rsid w:val="00652A1A"/>
    <w:rsid w:val="006532B5"/>
    <w:rsid w:val="00653489"/>
    <w:rsid w:val="00653610"/>
    <w:rsid w:val="006537B0"/>
    <w:rsid w:val="00654190"/>
    <w:rsid w:val="006553F2"/>
    <w:rsid w:val="0065592A"/>
    <w:rsid w:val="00655963"/>
    <w:rsid w:val="0065715E"/>
    <w:rsid w:val="0065770E"/>
    <w:rsid w:val="006625E0"/>
    <w:rsid w:val="0066311A"/>
    <w:rsid w:val="006646B5"/>
    <w:rsid w:val="00664A03"/>
    <w:rsid w:val="006653FA"/>
    <w:rsid w:val="006670C1"/>
    <w:rsid w:val="006673D5"/>
    <w:rsid w:val="00667E5A"/>
    <w:rsid w:val="0067090A"/>
    <w:rsid w:val="00670B4E"/>
    <w:rsid w:val="00670E31"/>
    <w:rsid w:val="00670F4A"/>
    <w:rsid w:val="006710D5"/>
    <w:rsid w:val="0067285D"/>
    <w:rsid w:val="00672898"/>
    <w:rsid w:val="00672F58"/>
    <w:rsid w:val="00673C57"/>
    <w:rsid w:val="006764B7"/>
    <w:rsid w:val="00677735"/>
    <w:rsid w:val="00677CB6"/>
    <w:rsid w:val="00680351"/>
    <w:rsid w:val="00680EA5"/>
    <w:rsid w:val="00681703"/>
    <w:rsid w:val="00682755"/>
    <w:rsid w:val="00685B37"/>
    <w:rsid w:val="00685FA3"/>
    <w:rsid w:val="00686395"/>
    <w:rsid w:val="00686AF6"/>
    <w:rsid w:val="006873F4"/>
    <w:rsid w:val="0069116D"/>
    <w:rsid w:val="0069242A"/>
    <w:rsid w:val="00692504"/>
    <w:rsid w:val="00693236"/>
    <w:rsid w:val="006939D3"/>
    <w:rsid w:val="00695E37"/>
    <w:rsid w:val="0069654B"/>
    <w:rsid w:val="006A0296"/>
    <w:rsid w:val="006A0522"/>
    <w:rsid w:val="006A16F6"/>
    <w:rsid w:val="006A21BE"/>
    <w:rsid w:val="006A2325"/>
    <w:rsid w:val="006A31D4"/>
    <w:rsid w:val="006A3692"/>
    <w:rsid w:val="006A37E9"/>
    <w:rsid w:val="006A51EE"/>
    <w:rsid w:val="006A646E"/>
    <w:rsid w:val="006B0918"/>
    <w:rsid w:val="006B1143"/>
    <w:rsid w:val="006B1AB7"/>
    <w:rsid w:val="006B2B55"/>
    <w:rsid w:val="006B55A4"/>
    <w:rsid w:val="006B5A40"/>
    <w:rsid w:val="006B5F69"/>
    <w:rsid w:val="006B6A0B"/>
    <w:rsid w:val="006B7026"/>
    <w:rsid w:val="006C0B2B"/>
    <w:rsid w:val="006C0D5A"/>
    <w:rsid w:val="006C10FE"/>
    <w:rsid w:val="006C152F"/>
    <w:rsid w:val="006C18BA"/>
    <w:rsid w:val="006C2269"/>
    <w:rsid w:val="006C2357"/>
    <w:rsid w:val="006C2D67"/>
    <w:rsid w:val="006C5494"/>
    <w:rsid w:val="006C56F0"/>
    <w:rsid w:val="006C58B6"/>
    <w:rsid w:val="006C6350"/>
    <w:rsid w:val="006C651B"/>
    <w:rsid w:val="006C7A84"/>
    <w:rsid w:val="006D0050"/>
    <w:rsid w:val="006D09D7"/>
    <w:rsid w:val="006D0A95"/>
    <w:rsid w:val="006D21B6"/>
    <w:rsid w:val="006D3635"/>
    <w:rsid w:val="006D37A1"/>
    <w:rsid w:val="006D3A2F"/>
    <w:rsid w:val="006D52F7"/>
    <w:rsid w:val="006D55E3"/>
    <w:rsid w:val="006D5C99"/>
    <w:rsid w:val="006E0336"/>
    <w:rsid w:val="006E0FE2"/>
    <w:rsid w:val="006E1184"/>
    <w:rsid w:val="006E138D"/>
    <w:rsid w:val="006E1585"/>
    <w:rsid w:val="006E18C9"/>
    <w:rsid w:val="006E2F9C"/>
    <w:rsid w:val="006E34BD"/>
    <w:rsid w:val="006E5063"/>
    <w:rsid w:val="006E6D17"/>
    <w:rsid w:val="006E79B9"/>
    <w:rsid w:val="006F08F8"/>
    <w:rsid w:val="006F0C6A"/>
    <w:rsid w:val="006F1CC8"/>
    <w:rsid w:val="006F2569"/>
    <w:rsid w:val="006F3897"/>
    <w:rsid w:val="006F466A"/>
    <w:rsid w:val="006F4D21"/>
    <w:rsid w:val="006F5E4A"/>
    <w:rsid w:val="006F6544"/>
    <w:rsid w:val="006F726E"/>
    <w:rsid w:val="006F7646"/>
    <w:rsid w:val="00701E9F"/>
    <w:rsid w:val="00703E8D"/>
    <w:rsid w:val="00703E93"/>
    <w:rsid w:val="007043A3"/>
    <w:rsid w:val="00704663"/>
    <w:rsid w:val="00704926"/>
    <w:rsid w:val="0070500E"/>
    <w:rsid w:val="00706F76"/>
    <w:rsid w:val="00707212"/>
    <w:rsid w:val="007102BC"/>
    <w:rsid w:val="00710611"/>
    <w:rsid w:val="007108D2"/>
    <w:rsid w:val="00711847"/>
    <w:rsid w:val="0071264F"/>
    <w:rsid w:val="00713876"/>
    <w:rsid w:val="00714394"/>
    <w:rsid w:val="00714A01"/>
    <w:rsid w:val="00716030"/>
    <w:rsid w:val="007168CF"/>
    <w:rsid w:val="007174F0"/>
    <w:rsid w:val="0071752F"/>
    <w:rsid w:val="00717580"/>
    <w:rsid w:val="0071788E"/>
    <w:rsid w:val="007207CC"/>
    <w:rsid w:val="00720C87"/>
    <w:rsid w:val="00720F52"/>
    <w:rsid w:val="007213F7"/>
    <w:rsid w:val="00721DF5"/>
    <w:rsid w:val="00722937"/>
    <w:rsid w:val="0072336E"/>
    <w:rsid w:val="007241BE"/>
    <w:rsid w:val="00725A51"/>
    <w:rsid w:val="00725D7B"/>
    <w:rsid w:val="0072665F"/>
    <w:rsid w:val="007272DF"/>
    <w:rsid w:val="007307CE"/>
    <w:rsid w:val="00730FEB"/>
    <w:rsid w:val="007325C8"/>
    <w:rsid w:val="007333B9"/>
    <w:rsid w:val="00734732"/>
    <w:rsid w:val="00734A5F"/>
    <w:rsid w:val="00734BD0"/>
    <w:rsid w:val="00734FF9"/>
    <w:rsid w:val="00735851"/>
    <w:rsid w:val="00736920"/>
    <w:rsid w:val="00736936"/>
    <w:rsid w:val="0074009D"/>
    <w:rsid w:val="00740AA7"/>
    <w:rsid w:val="00742CFA"/>
    <w:rsid w:val="00742F88"/>
    <w:rsid w:val="00742FED"/>
    <w:rsid w:val="007441AF"/>
    <w:rsid w:val="0074507A"/>
    <w:rsid w:val="00745B4F"/>
    <w:rsid w:val="00745DD6"/>
    <w:rsid w:val="00746A24"/>
    <w:rsid w:val="007508AD"/>
    <w:rsid w:val="00751478"/>
    <w:rsid w:val="00751EE8"/>
    <w:rsid w:val="007533F0"/>
    <w:rsid w:val="0075342A"/>
    <w:rsid w:val="00753625"/>
    <w:rsid w:val="00755D3F"/>
    <w:rsid w:val="007567CB"/>
    <w:rsid w:val="00756A2A"/>
    <w:rsid w:val="00757662"/>
    <w:rsid w:val="00757666"/>
    <w:rsid w:val="00757F1A"/>
    <w:rsid w:val="007607C8"/>
    <w:rsid w:val="00762106"/>
    <w:rsid w:val="007635AD"/>
    <w:rsid w:val="00763CC8"/>
    <w:rsid w:val="00763E19"/>
    <w:rsid w:val="00764C43"/>
    <w:rsid w:val="00764E56"/>
    <w:rsid w:val="007652A6"/>
    <w:rsid w:val="00766465"/>
    <w:rsid w:val="00766B54"/>
    <w:rsid w:val="00766F3C"/>
    <w:rsid w:val="00767522"/>
    <w:rsid w:val="007707EB"/>
    <w:rsid w:val="00770B47"/>
    <w:rsid w:val="00770D48"/>
    <w:rsid w:val="007714C4"/>
    <w:rsid w:val="00771608"/>
    <w:rsid w:val="007717E8"/>
    <w:rsid w:val="00772AAE"/>
    <w:rsid w:val="00772B52"/>
    <w:rsid w:val="00772D4D"/>
    <w:rsid w:val="00772E5E"/>
    <w:rsid w:val="00773442"/>
    <w:rsid w:val="0077427E"/>
    <w:rsid w:val="00774466"/>
    <w:rsid w:val="0077489C"/>
    <w:rsid w:val="00775681"/>
    <w:rsid w:val="00777631"/>
    <w:rsid w:val="007817BC"/>
    <w:rsid w:val="0078181F"/>
    <w:rsid w:val="00781C2C"/>
    <w:rsid w:val="00781C4F"/>
    <w:rsid w:val="00782F5D"/>
    <w:rsid w:val="00782F8B"/>
    <w:rsid w:val="007837E8"/>
    <w:rsid w:val="00783F0D"/>
    <w:rsid w:val="00786799"/>
    <w:rsid w:val="00786B91"/>
    <w:rsid w:val="00787B44"/>
    <w:rsid w:val="00787B87"/>
    <w:rsid w:val="007925E1"/>
    <w:rsid w:val="00792E9B"/>
    <w:rsid w:val="00793366"/>
    <w:rsid w:val="00795273"/>
    <w:rsid w:val="00795EF5"/>
    <w:rsid w:val="00796120"/>
    <w:rsid w:val="00796BAF"/>
    <w:rsid w:val="007974FB"/>
    <w:rsid w:val="007A25DA"/>
    <w:rsid w:val="007A3BD1"/>
    <w:rsid w:val="007A53C1"/>
    <w:rsid w:val="007A5538"/>
    <w:rsid w:val="007A73C1"/>
    <w:rsid w:val="007A7547"/>
    <w:rsid w:val="007A7C24"/>
    <w:rsid w:val="007B035D"/>
    <w:rsid w:val="007B0BA0"/>
    <w:rsid w:val="007B1688"/>
    <w:rsid w:val="007B181A"/>
    <w:rsid w:val="007B2303"/>
    <w:rsid w:val="007B3F28"/>
    <w:rsid w:val="007B42F7"/>
    <w:rsid w:val="007B445A"/>
    <w:rsid w:val="007B4E77"/>
    <w:rsid w:val="007B5B30"/>
    <w:rsid w:val="007B67F5"/>
    <w:rsid w:val="007B6979"/>
    <w:rsid w:val="007B7432"/>
    <w:rsid w:val="007C0E6A"/>
    <w:rsid w:val="007C1728"/>
    <w:rsid w:val="007C1A71"/>
    <w:rsid w:val="007C1D11"/>
    <w:rsid w:val="007C24BD"/>
    <w:rsid w:val="007C295A"/>
    <w:rsid w:val="007C2E75"/>
    <w:rsid w:val="007C2E8A"/>
    <w:rsid w:val="007C30CC"/>
    <w:rsid w:val="007C414B"/>
    <w:rsid w:val="007C4A14"/>
    <w:rsid w:val="007C4F53"/>
    <w:rsid w:val="007C596E"/>
    <w:rsid w:val="007C59F8"/>
    <w:rsid w:val="007C5F43"/>
    <w:rsid w:val="007C6C1C"/>
    <w:rsid w:val="007D0C0F"/>
    <w:rsid w:val="007D207B"/>
    <w:rsid w:val="007D438C"/>
    <w:rsid w:val="007D4F3A"/>
    <w:rsid w:val="007D50CE"/>
    <w:rsid w:val="007D5A3E"/>
    <w:rsid w:val="007D661A"/>
    <w:rsid w:val="007D7DE5"/>
    <w:rsid w:val="007E0A62"/>
    <w:rsid w:val="007E0BCA"/>
    <w:rsid w:val="007E157D"/>
    <w:rsid w:val="007E1E1C"/>
    <w:rsid w:val="007E2CA7"/>
    <w:rsid w:val="007E3624"/>
    <w:rsid w:val="007E502A"/>
    <w:rsid w:val="007E5A30"/>
    <w:rsid w:val="007E5FC1"/>
    <w:rsid w:val="007E6805"/>
    <w:rsid w:val="007E72EF"/>
    <w:rsid w:val="007F0275"/>
    <w:rsid w:val="007F1B4C"/>
    <w:rsid w:val="007F2C98"/>
    <w:rsid w:val="007F31C7"/>
    <w:rsid w:val="007F370A"/>
    <w:rsid w:val="007F3914"/>
    <w:rsid w:val="007F5D1B"/>
    <w:rsid w:val="007F6E24"/>
    <w:rsid w:val="007F73FE"/>
    <w:rsid w:val="00801EDC"/>
    <w:rsid w:val="00802F6C"/>
    <w:rsid w:val="00803518"/>
    <w:rsid w:val="0080389C"/>
    <w:rsid w:val="00804BD0"/>
    <w:rsid w:val="00804F7F"/>
    <w:rsid w:val="00806F96"/>
    <w:rsid w:val="00807A1A"/>
    <w:rsid w:val="00807DAD"/>
    <w:rsid w:val="00810438"/>
    <w:rsid w:val="008121AF"/>
    <w:rsid w:val="008132C8"/>
    <w:rsid w:val="008136AC"/>
    <w:rsid w:val="00814222"/>
    <w:rsid w:val="00814E12"/>
    <w:rsid w:val="00815444"/>
    <w:rsid w:val="008166CC"/>
    <w:rsid w:val="00817BD5"/>
    <w:rsid w:val="00817E5F"/>
    <w:rsid w:val="0082132F"/>
    <w:rsid w:val="0082318A"/>
    <w:rsid w:val="00826258"/>
    <w:rsid w:val="0082700B"/>
    <w:rsid w:val="00827CC9"/>
    <w:rsid w:val="00831979"/>
    <w:rsid w:val="00833FF1"/>
    <w:rsid w:val="00834810"/>
    <w:rsid w:val="00834E47"/>
    <w:rsid w:val="0083634D"/>
    <w:rsid w:val="008367D3"/>
    <w:rsid w:val="0083686D"/>
    <w:rsid w:val="00840DA2"/>
    <w:rsid w:val="0084368D"/>
    <w:rsid w:val="0084432F"/>
    <w:rsid w:val="008443A1"/>
    <w:rsid w:val="008444BB"/>
    <w:rsid w:val="00845FE8"/>
    <w:rsid w:val="0084633B"/>
    <w:rsid w:val="0084636E"/>
    <w:rsid w:val="00846A0E"/>
    <w:rsid w:val="00846E17"/>
    <w:rsid w:val="008479BB"/>
    <w:rsid w:val="008506F8"/>
    <w:rsid w:val="00850E1D"/>
    <w:rsid w:val="00851082"/>
    <w:rsid w:val="008513F4"/>
    <w:rsid w:val="00851837"/>
    <w:rsid w:val="00851B71"/>
    <w:rsid w:val="00851D0D"/>
    <w:rsid w:val="00852B76"/>
    <w:rsid w:val="00852F6E"/>
    <w:rsid w:val="008531C1"/>
    <w:rsid w:val="00854512"/>
    <w:rsid w:val="00854887"/>
    <w:rsid w:val="0085562C"/>
    <w:rsid w:val="00855837"/>
    <w:rsid w:val="00856C68"/>
    <w:rsid w:val="008578B8"/>
    <w:rsid w:val="00857E91"/>
    <w:rsid w:val="00861980"/>
    <w:rsid w:val="0086201A"/>
    <w:rsid w:val="008654F8"/>
    <w:rsid w:val="00865CFE"/>
    <w:rsid w:val="0086645F"/>
    <w:rsid w:val="00866816"/>
    <w:rsid w:val="00867860"/>
    <w:rsid w:val="00867950"/>
    <w:rsid w:val="00867BC9"/>
    <w:rsid w:val="008700A5"/>
    <w:rsid w:val="00870A2E"/>
    <w:rsid w:val="00870B43"/>
    <w:rsid w:val="00870EB0"/>
    <w:rsid w:val="00872DC1"/>
    <w:rsid w:val="00873B8B"/>
    <w:rsid w:val="00873CBF"/>
    <w:rsid w:val="00873CCF"/>
    <w:rsid w:val="0087493C"/>
    <w:rsid w:val="00874D04"/>
    <w:rsid w:val="00875788"/>
    <w:rsid w:val="00876875"/>
    <w:rsid w:val="00876F67"/>
    <w:rsid w:val="00877E53"/>
    <w:rsid w:val="00880B8C"/>
    <w:rsid w:val="00881CA1"/>
    <w:rsid w:val="008825C9"/>
    <w:rsid w:val="008844D4"/>
    <w:rsid w:val="00884A3C"/>
    <w:rsid w:val="00885435"/>
    <w:rsid w:val="0088554C"/>
    <w:rsid w:val="00885EF0"/>
    <w:rsid w:val="0088612C"/>
    <w:rsid w:val="0088687A"/>
    <w:rsid w:val="00887FB1"/>
    <w:rsid w:val="008903EC"/>
    <w:rsid w:val="00890702"/>
    <w:rsid w:val="008919BA"/>
    <w:rsid w:val="00892017"/>
    <w:rsid w:val="00892484"/>
    <w:rsid w:val="00892CB5"/>
    <w:rsid w:val="00894CA2"/>
    <w:rsid w:val="0089651E"/>
    <w:rsid w:val="00897573"/>
    <w:rsid w:val="008977CA"/>
    <w:rsid w:val="008A0392"/>
    <w:rsid w:val="008A0784"/>
    <w:rsid w:val="008A106C"/>
    <w:rsid w:val="008A1B33"/>
    <w:rsid w:val="008A1E75"/>
    <w:rsid w:val="008A219C"/>
    <w:rsid w:val="008A2837"/>
    <w:rsid w:val="008A327D"/>
    <w:rsid w:val="008A3603"/>
    <w:rsid w:val="008A4C51"/>
    <w:rsid w:val="008A4FCF"/>
    <w:rsid w:val="008A543A"/>
    <w:rsid w:val="008A5C5B"/>
    <w:rsid w:val="008A6CCB"/>
    <w:rsid w:val="008A716F"/>
    <w:rsid w:val="008A749C"/>
    <w:rsid w:val="008A75A8"/>
    <w:rsid w:val="008A78D4"/>
    <w:rsid w:val="008A7ABD"/>
    <w:rsid w:val="008B0A1D"/>
    <w:rsid w:val="008B1A0E"/>
    <w:rsid w:val="008B318B"/>
    <w:rsid w:val="008B530A"/>
    <w:rsid w:val="008B5BD3"/>
    <w:rsid w:val="008B6CB4"/>
    <w:rsid w:val="008B713C"/>
    <w:rsid w:val="008B74D2"/>
    <w:rsid w:val="008B74FA"/>
    <w:rsid w:val="008B7962"/>
    <w:rsid w:val="008C0445"/>
    <w:rsid w:val="008C1519"/>
    <w:rsid w:val="008C1C1C"/>
    <w:rsid w:val="008C2264"/>
    <w:rsid w:val="008C241A"/>
    <w:rsid w:val="008C257D"/>
    <w:rsid w:val="008C2A52"/>
    <w:rsid w:val="008C2D18"/>
    <w:rsid w:val="008C322B"/>
    <w:rsid w:val="008C4C4D"/>
    <w:rsid w:val="008C5A60"/>
    <w:rsid w:val="008C5C15"/>
    <w:rsid w:val="008C6E20"/>
    <w:rsid w:val="008C79AD"/>
    <w:rsid w:val="008C7F1C"/>
    <w:rsid w:val="008D083F"/>
    <w:rsid w:val="008D08BE"/>
    <w:rsid w:val="008D0D5D"/>
    <w:rsid w:val="008D134B"/>
    <w:rsid w:val="008D19B3"/>
    <w:rsid w:val="008D2325"/>
    <w:rsid w:val="008D2429"/>
    <w:rsid w:val="008D296F"/>
    <w:rsid w:val="008D2E3C"/>
    <w:rsid w:val="008D4C9C"/>
    <w:rsid w:val="008D6CE3"/>
    <w:rsid w:val="008E00A7"/>
    <w:rsid w:val="008E09E5"/>
    <w:rsid w:val="008E0B32"/>
    <w:rsid w:val="008E1DB8"/>
    <w:rsid w:val="008E2DD3"/>
    <w:rsid w:val="008E4F71"/>
    <w:rsid w:val="008E530D"/>
    <w:rsid w:val="008E5E9C"/>
    <w:rsid w:val="008E5FDB"/>
    <w:rsid w:val="008E7A5C"/>
    <w:rsid w:val="008F0343"/>
    <w:rsid w:val="008F1015"/>
    <w:rsid w:val="008F139F"/>
    <w:rsid w:val="008F13A4"/>
    <w:rsid w:val="008F16C0"/>
    <w:rsid w:val="008F1994"/>
    <w:rsid w:val="008F1DE4"/>
    <w:rsid w:val="008F269D"/>
    <w:rsid w:val="008F2827"/>
    <w:rsid w:val="008F2AEE"/>
    <w:rsid w:val="008F3D54"/>
    <w:rsid w:val="008F4141"/>
    <w:rsid w:val="00900310"/>
    <w:rsid w:val="00902F25"/>
    <w:rsid w:val="00903AA7"/>
    <w:rsid w:val="009054BF"/>
    <w:rsid w:val="00905727"/>
    <w:rsid w:val="00906501"/>
    <w:rsid w:val="00906516"/>
    <w:rsid w:val="009065F9"/>
    <w:rsid w:val="00906D58"/>
    <w:rsid w:val="009104B9"/>
    <w:rsid w:val="009107EC"/>
    <w:rsid w:val="00912313"/>
    <w:rsid w:val="00912A84"/>
    <w:rsid w:val="00915826"/>
    <w:rsid w:val="009172A0"/>
    <w:rsid w:val="0092034F"/>
    <w:rsid w:val="00921B21"/>
    <w:rsid w:val="00922626"/>
    <w:rsid w:val="00922DA8"/>
    <w:rsid w:val="00923295"/>
    <w:rsid w:val="00923FC2"/>
    <w:rsid w:val="009253C1"/>
    <w:rsid w:val="0092546E"/>
    <w:rsid w:val="00926714"/>
    <w:rsid w:val="00927EC2"/>
    <w:rsid w:val="00931556"/>
    <w:rsid w:val="009331FA"/>
    <w:rsid w:val="00933232"/>
    <w:rsid w:val="00933F1F"/>
    <w:rsid w:val="009340BF"/>
    <w:rsid w:val="00936B18"/>
    <w:rsid w:val="00941BF8"/>
    <w:rsid w:val="00943C59"/>
    <w:rsid w:val="00944235"/>
    <w:rsid w:val="00944B34"/>
    <w:rsid w:val="00945F9C"/>
    <w:rsid w:val="00950BCA"/>
    <w:rsid w:val="0095130D"/>
    <w:rsid w:val="009519D8"/>
    <w:rsid w:val="00951DFA"/>
    <w:rsid w:val="00951FEE"/>
    <w:rsid w:val="009522BC"/>
    <w:rsid w:val="00952331"/>
    <w:rsid w:val="00952455"/>
    <w:rsid w:val="0095351E"/>
    <w:rsid w:val="00953723"/>
    <w:rsid w:val="00953A5A"/>
    <w:rsid w:val="009549D3"/>
    <w:rsid w:val="00954CEF"/>
    <w:rsid w:val="0095549B"/>
    <w:rsid w:val="009555B5"/>
    <w:rsid w:val="0095611A"/>
    <w:rsid w:val="0096127A"/>
    <w:rsid w:val="00961C4B"/>
    <w:rsid w:val="00961D83"/>
    <w:rsid w:val="009626CB"/>
    <w:rsid w:val="00963FF5"/>
    <w:rsid w:val="00965D9F"/>
    <w:rsid w:val="009663D5"/>
    <w:rsid w:val="00966AFC"/>
    <w:rsid w:val="00966D48"/>
    <w:rsid w:val="009675BC"/>
    <w:rsid w:val="00967E4C"/>
    <w:rsid w:val="00970A0D"/>
    <w:rsid w:val="00971536"/>
    <w:rsid w:val="009723EF"/>
    <w:rsid w:val="0097386B"/>
    <w:rsid w:val="00973C28"/>
    <w:rsid w:val="009744A9"/>
    <w:rsid w:val="0097699D"/>
    <w:rsid w:val="0097768A"/>
    <w:rsid w:val="00982803"/>
    <w:rsid w:val="00982AE9"/>
    <w:rsid w:val="009839D4"/>
    <w:rsid w:val="00983A9E"/>
    <w:rsid w:val="00985D80"/>
    <w:rsid w:val="0098603A"/>
    <w:rsid w:val="00987E90"/>
    <w:rsid w:val="0099008C"/>
    <w:rsid w:val="0099074A"/>
    <w:rsid w:val="009928BE"/>
    <w:rsid w:val="009929E2"/>
    <w:rsid w:val="00992FF9"/>
    <w:rsid w:val="009952F9"/>
    <w:rsid w:val="009953D3"/>
    <w:rsid w:val="0099677F"/>
    <w:rsid w:val="009A030C"/>
    <w:rsid w:val="009A05F3"/>
    <w:rsid w:val="009A1420"/>
    <w:rsid w:val="009A20D0"/>
    <w:rsid w:val="009A2CD1"/>
    <w:rsid w:val="009A37DF"/>
    <w:rsid w:val="009A3BD7"/>
    <w:rsid w:val="009A3FF8"/>
    <w:rsid w:val="009A4416"/>
    <w:rsid w:val="009A4A98"/>
    <w:rsid w:val="009A5C16"/>
    <w:rsid w:val="009A733E"/>
    <w:rsid w:val="009A7774"/>
    <w:rsid w:val="009B05C0"/>
    <w:rsid w:val="009B20A7"/>
    <w:rsid w:val="009B2E84"/>
    <w:rsid w:val="009B3975"/>
    <w:rsid w:val="009B3A26"/>
    <w:rsid w:val="009B3F78"/>
    <w:rsid w:val="009B58B2"/>
    <w:rsid w:val="009B59C5"/>
    <w:rsid w:val="009B7739"/>
    <w:rsid w:val="009C017C"/>
    <w:rsid w:val="009C03B8"/>
    <w:rsid w:val="009C0DB1"/>
    <w:rsid w:val="009C0F63"/>
    <w:rsid w:val="009C139D"/>
    <w:rsid w:val="009C26D2"/>
    <w:rsid w:val="009C2B0E"/>
    <w:rsid w:val="009C315E"/>
    <w:rsid w:val="009C579E"/>
    <w:rsid w:val="009D0813"/>
    <w:rsid w:val="009D0B22"/>
    <w:rsid w:val="009D11CB"/>
    <w:rsid w:val="009D24A5"/>
    <w:rsid w:val="009D271D"/>
    <w:rsid w:val="009D2832"/>
    <w:rsid w:val="009D2FCC"/>
    <w:rsid w:val="009D3468"/>
    <w:rsid w:val="009D3797"/>
    <w:rsid w:val="009D4C79"/>
    <w:rsid w:val="009D603E"/>
    <w:rsid w:val="009D67A3"/>
    <w:rsid w:val="009D7907"/>
    <w:rsid w:val="009E097B"/>
    <w:rsid w:val="009E0D9A"/>
    <w:rsid w:val="009E135A"/>
    <w:rsid w:val="009E20FE"/>
    <w:rsid w:val="009E2BEF"/>
    <w:rsid w:val="009E62C0"/>
    <w:rsid w:val="009F0073"/>
    <w:rsid w:val="009F0BB6"/>
    <w:rsid w:val="009F0F39"/>
    <w:rsid w:val="009F1871"/>
    <w:rsid w:val="009F1E32"/>
    <w:rsid w:val="009F201A"/>
    <w:rsid w:val="009F2891"/>
    <w:rsid w:val="009F32F9"/>
    <w:rsid w:val="009F3FA1"/>
    <w:rsid w:val="00A00AA8"/>
    <w:rsid w:val="00A0224F"/>
    <w:rsid w:val="00A02AF6"/>
    <w:rsid w:val="00A03554"/>
    <w:rsid w:val="00A05437"/>
    <w:rsid w:val="00A0617B"/>
    <w:rsid w:val="00A10989"/>
    <w:rsid w:val="00A10C1C"/>
    <w:rsid w:val="00A11418"/>
    <w:rsid w:val="00A115BD"/>
    <w:rsid w:val="00A11A9B"/>
    <w:rsid w:val="00A12246"/>
    <w:rsid w:val="00A1391F"/>
    <w:rsid w:val="00A13A65"/>
    <w:rsid w:val="00A13DBD"/>
    <w:rsid w:val="00A141BD"/>
    <w:rsid w:val="00A1443F"/>
    <w:rsid w:val="00A14C26"/>
    <w:rsid w:val="00A14C5E"/>
    <w:rsid w:val="00A152A4"/>
    <w:rsid w:val="00A17126"/>
    <w:rsid w:val="00A20D75"/>
    <w:rsid w:val="00A214FD"/>
    <w:rsid w:val="00A21669"/>
    <w:rsid w:val="00A21A87"/>
    <w:rsid w:val="00A22169"/>
    <w:rsid w:val="00A22EA8"/>
    <w:rsid w:val="00A23134"/>
    <w:rsid w:val="00A233DB"/>
    <w:rsid w:val="00A25050"/>
    <w:rsid w:val="00A25701"/>
    <w:rsid w:val="00A264B6"/>
    <w:rsid w:val="00A27768"/>
    <w:rsid w:val="00A307F1"/>
    <w:rsid w:val="00A308F1"/>
    <w:rsid w:val="00A3107E"/>
    <w:rsid w:val="00A31FE0"/>
    <w:rsid w:val="00A331A8"/>
    <w:rsid w:val="00A34524"/>
    <w:rsid w:val="00A36AEB"/>
    <w:rsid w:val="00A36EC5"/>
    <w:rsid w:val="00A37C02"/>
    <w:rsid w:val="00A37F53"/>
    <w:rsid w:val="00A412CC"/>
    <w:rsid w:val="00A41977"/>
    <w:rsid w:val="00A43121"/>
    <w:rsid w:val="00A44232"/>
    <w:rsid w:val="00A455FD"/>
    <w:rsid w:val="00A46CAC"/>
    <w:rsid w:val="00A477B4"/>
    <w:rsid w:val="00A507A5"/>
    <w:rsid w:val="00A51061"/>
    <w:rsid w:val="00A52AEF"/>
    <w:rsid w:val="00A53DEC"/>
    <w:rsid w:val="00A542BD"/>
    <w:rsid w:val="00A5588C"/>
    <w:rsid w:val="00A55A2A"/>
    <w:rsid w:val="00A56B2E"/>
    <w:rsid w:val="00A57887"/>
    <w:rsid w:val="00A60019"/>
    <w:rsid w:val="00A60356"/>
    <w:rsid w:val="00A63526"/>
    <w:rsid w:val="00A64074"/>
    <w:rsid w:val="00A64322"/>
    <w:rsid w:val="00A65093"/>
    <w:rsid w:val="00A650D9"/>
    <w:rsid w:val="00A65CCB"/>
    <w:rsid w:val="00A67A03"/>
    <w:rsid w:val="00A67C87"/>
    <w:rsid w:val="00A70409"/>
    <w:rsid w:val="00A715A2"/>
    <w:rsid w:val="00A724FA"/>
    <w:rsid w:val="00A72BE6"/>
    <w:rsid w:val="00A733DB"/>
    <w:rsid w:val="00A740C5"/>
    <w:rsid w:val="00A74C18"/>
    <w:rsid w:val="00A759D6"/>
    <w:rsid w:val="00A764C7"/>
    <w:rsid w:val="00A77116"/>
    <w:rsid w:val="00A775C0"/>
    <w:rsid w:val="00A77DB8"/>
    <w:rsid w:val="00A8298E"/>
    <w:rsid w:val="00A82EC4"/>
    <w:rsid w:val="00A834A7"/>
    <w:rsid w:val="00A83B3C"/>
    <w:rsid w:val="00A83CE5"/>
    <w:rsid w:val="00A84B79"/>
    <w:rsid w:val="00A85058"/>
    <w:rsid w:val="00A85A75"/>
    <w:rsid w:val="00A85F8A"/>
    <w:rsid w:val="00A8645E"/>
    <w:rsid w:val="00A86DEE"/>
    <w:rsid w:val="00A86EA2"/>
    <w:rsid w:val="00A901F6"/>
    <w:rsid w:val="00A90C35"/>
    <w:rsid w:val="00A90D28"/>
    <w:rsid w:val="00A90EB7"/>
    <w:rsid w:val="00A910D7"/>
    <w:rsid w:val="00A92127"/>
    <w:rsid w:val="00A923EB"/>
    <w:rsid w:val="00A93A43"/>
    <w:rsid w:val="00A93BF3"/>
    <w:rsid w:val="00A942E2"/>
    <w:rsid w:val="00A95A4A"/>
    <w:rsid w:val="00A966AF"/>
    <w:rsid w:val="00A976CA"/>
    <w:rsid w:val="00A97C82"/>
    <w:rsid w:val="00AA1197"/>
    <w:rsid w:val="00AA2C41"/>
    <w:rsid w:val="00AA3639"/>
    <w:rsid w:val="00AA4202"/>
    <w:rsid w:val="00AA5168"/>
    <w:rsid w:val="00AA5929"/>
    <w:rsid w:val="00AA6ABE"/>
    <w:rsid w:val="00AA701B"/>
    <w:rsid w:val="00AA7516"/>
    <w:rsid w:val="00AB0FE9"/>
    <w:rsid w:val="00AB1CD3"/>
    <w:rsid w:val="00AB2531"/>
    <w:rsid w:val="00AB2BC1"/>
    <w:rsid w:val="00AB4640"/>
    <w:rsid w:val="00AB501F"/>
    <w:rsid w:val="00AB5658"/>
    <w:rsid w:val="00AB7B0C"/>
    <w:rsid w:val="00AC0F7C"/>
    <w:rsid w:val="00AC0FDC"/>
    <w:rsid w:val="00AC1C69"/>
    <w:rsid w:val="00AC1E67"/>
    <w:rsid w:val="00AC26D8"/>
    <w:rsid w:val="00AC26E7"/>
    <w:rsid w:val="00AC4033"/>
    <w:rsid w:val="00AC4F0E"/>
    <w:rsid w:val="00AC4F6A"/>
    <w:rsid w:val="00AC6C9E"/>
    <w:rsid w:val="00AC7056"/>
    <w:rsid w:val="00AC7655"/>
    <w:rsid w:val="00AD0431"/>
    <w:rsid w:val="00AD05E0"/>
    <w:rsid w:val="00AD0D72"/>
    <w:rsid w:val="00AD16A8"/>
    <w:rsid w:val="00AD2017"/>
    <w:rsid w:val="00AD30A3"/>
    <w:rsid w:val="00AD40A2"/>
    <w:rsid w:val="00AD487D"/>
    <w:rsid w:val="00AD6188"/>
    <w:rsid w:val="00AD648F"/>
    <w:rsid w:val="00AD6AA5"/>
    <w:rsid w:val="00AD7808"/>
    <w:rsid w:val="00AE052A"/>
    <w:rsid w:val="00AE082A"/>
    <w:rsid w:val="00AE12E4"/>
    <w:rsid w:val="00AE1F8A"/>
    <w:rsid w:val="00AE23D0"/>
    <w:rsid w:val="00AE2B6A"/>
    <w:rsid w:val="00AE3467"/>
    <w:rsid w:val="00AE649C"/>
    <w:rsid w:val="00AE78FE"/>
    <w:rsid w:val="00AF1242"/>
    <w:rsid w:val="00AF1337"/>
    <w:rsid w:val="00AF23C9"/>
    <w:rsid w:val="00AF27FE"/>
    <w:rsid w:val="00AF7028"/>
    <w:rsid w:val="00AF7796"/>
    <w:rsid w:val="00AF7D79"/>
    <w:rsid w:val="00B00C41"/>
    <w:rsid w:val="00B013C5"/>
    <w:rsid w:val="00B021FA"/>
    <w:rsid w:val="00B02BFE"/>
    <w:rsid w:val="00B02F1F"/>
    <w:rsid w:val="00B03616"/>
    <w:rsid w:val="00B039AE"/>
    <w:rsid w:val="00B048C2"/>
    <w:rsid w:val="00B05004"/>
    <w:rsid w:val="00B05AA4"/>
    <w:rsid w:val="00B05C0E"/>
    <w:rsid w:val="00B05E99"/>
    <w:rsid w:val="00B069A4"/>
    <w:rsid w:val="00B06F71"/>
    <w:rsid w:val="00B07F79"/>
    <w:rsid w:val="00B10580"/>
    <w:rsid w:val="00B10C84"/>
    <w:rsid w:val="00B11E5E"/>
    <w:rsid w:val="00B12E19"/>
    <w:rsid w:val="00B13125"/>
    <w:rsid w:val="00B13326"/>
    <w:rsid w:val="00B13F2F"/>
    <w:rsid w:val="00B1579B"/>
    <w:rsid w:val="00B15D7F"/>
    <w:rsid w:val="00B163BF"/>
    <w:rsid w:val="00B163FE"/>
    <w:rsid w:val="00B17117"/>
    <w:rsid w:val="00B17F40"/>
    <w:rsid w:val="00B22270"/>
    <w:rsid w:val="00B22AFF"/>
    <w:rsid w:val="00B22BFE"/>
    <w:rsid w:val="00B22F65"/>
    <w:rsid w:val="00B23D55"/>
    <w:rsid w:val="00B247E3"/>
    <w:rsid w:val="00B2584D"/>
    <w:rsid w:val="00B259D2"/>
    <w:rsid w:val="00B25DFD"/>
    <w:rsid w:val="00B265CF"/>
    <w:rsid w:val="00B26C35"/>
    <w:rsid w:val="00B2730A"/>
    <w:rsid w:val="00B3019D"/>
    <w:rsid w:val="00B317C6"/>
    <w:rsid w:val="00B322CC"/>
    <w:rsid w:val="00B33E60"/>
    <w:rsid w:val="00B3457F"/>
    <w:rsid w:val="00B3468B"/>
    <w:rsid w:val="00B3509D"/>
    <w:rsid w:val="00B355BB"/>
    <w:rsid w:val="00B37DFF"/>
    <w:rsid w:val="00B40755"/>
    <w:rsid w:val="00B40813"/>
    <w:rsid w:val="00B41216"/>
    <w:rsid w:val="00B434E0"/>
    <w:rsid w:val="00B434ED"/>
    <w:rsid w:val="00B43BA6"/>
    <w:rsid w:val="00B44B3A"/>
    <w:rsid w:val="00B45C2D"/>
    <w:rsid w:val="00B46125"/>
    <w:rsid w:val="00B477D9"/>
    <w:rsid w:val="00B521B0"/>
    <w:rsid w:val="00B52437"/>
    <w:rsid w:val="00B5246C"/>
    <w:rsid w:val="00B53041"/>
    <w:rsid w:val="00B530E4"/>
    <w:rsid w:val="00B53328"/>
    <w:rsid w:val="00B54652"/>
    <w:rsid w:val="00B54D25"/>
    <w:rsid w:val="00B55062"/>
    <w:rsid w:val="00B5570B"/>
    <w:rsid w:val="00B55ADB"/>
    <w:rsid w:val="00B561D1"/>
    <w:rsid w:val="00B56582"/>
    <w:rsid w:val="00B575D1"/>
    <w:rsid w:val="00B57B68"/>
    <w:rsid w:val="00B60C1B"/>
    <w:rsid w:val="00B610EA"/>
    <w:rsid w:val="00B61B94"/>
    <w:rsid w:val="00B63EF4"/>
    <w:rsid w:val="00B64671"/>
    <w:rsid w:val="00B64824"/>
    <w:rsid w:val="00B648C9"/>
    <w:rsid w:val="00B666B8"/>
    <w:rsid w:val="00B6782D"/>
    <w:rsid w:val="00B67BB2"/>
    <w:rsid w:val="00B70995"/>
    <w:rsid w:val="00B71017"/>
    <w:rsid w:val="00B72CA7"/>
    <w:rsid w:val="00B72CBB"/>
    <w:rsid w:val="00B73E33"/>
    <w:rsid w:val="00B753BC"/>
    <w:rsid w:val="00B7629A"/>
    <w:rsid w:val="00B7684E"/>
    <w:rsid w:val="00B80615"/>
    <w:rsid w:val="00B817FA"/>
    <w:rsid w:val="00B82296"/>
    <w:rsid w:val="00B82562"/>
    <w:rsid w:val="00B8328A"/>
    <w:rsid w:val="00B836EA"/>
    <w:rsid w:val="00B838CC"/>
    <w:rsid w:val="00B838D7"/>
    <w:rsid w:val="00B84EAE"/>
    <w:rsid w:val="00B86C3E"/>
    <w:rsid w:val="00B871B6"/>
    <w:rsid w:val="00B87DEE"/>
    <w:rsid w:val="00B901E1"/>
    <w:rsid w:val="00B921CD"/>
    <w:rsid w:val="00B924B8"/>
    <w:rsid w:val="00B92F88"/>
    <w:rsid w:val="00B93628"/>
    <w:rsid w:val="00B93AAB"/>
    <w:rsid w:val="00B94803"/>
    <w:rsid w:val="00B95527"/>
    <w:rsid w:val="00B96A64"/>
    <w:rsid w:val="00B96E4A"/>
    <w:rsid w:val="00BA08DF"/>
    <w:rsid w:val="00BA0E03"/>
    <w:rsid w:val="00BA11E3"/>
    <w:rsid w:val="00BA139C"/>
    <w:rsid w:val="00BA2106"/>
    <w:rsid w:val="00BA5438"/>
    <w:rsid w:val="00BA6138"/>
    <w:rsid w:val="00BA7936"/>
    <w:rsid w:val="00BB35A0"/>
    <w:rsid w:val="00BB36D8"/>
    <w:rsid w:val="00BB3A20"/>
    <w:rsid w:val="00BB3D8F"/>
    <w:rsid w:val="00BB40C7"/>
    <w:rsid w:val="00BB6619"/>
    <w:rsid w:val="00BB7848"/>
    <w:rsid w:val="00BC0BA3"/>
    <w:rsid w:val="00BC1273"/>
    <w:rsid w:val="00BC26D8"/>
    <w:rsid w:val="00BC2C05"/>
    <w:rsid w:val="00BC2FF6"/>
    <w:rsid w:val="00BC4766"/>
    <w:rsid w:val="00BC4C78"/>
    <w:rsid w:val="00BC532A"/>
    <w:rsid w:val="00BC593E"/>
    <w:rsid w:val="00BC6220"/>
    <w:rsid w:val="00BC7970"/>
    <w:rsid w:val="00BD019C"/>
    <w:rsid w:val="00BD11CA"/>
    <w:rsid w:val="00BD2489"/>
    <w:rsid w:val="00BD3677"/>
    <w:rsid w:val="00BD4DE7"/>
    <w:rsid w:val="00BD523C"/>
    <w:rsid w:val="00BD6AB2"/>
    <w:rsid w:val="00BD7441"/>
    <w:rsid w:val="00BD7DA3"/>
    <w:rsid w:val="00BE0E5B"/>
    <w:rsid w:val="00BE16B3"/>
    <w:rsid w:val="00BE1CD8"/>
    <w:rsid w:val="00BE2BB9"/>
    <w:rsid w:val="00BE4D1E"/>
    <w:rsid w:val="00BE63A1"/>
    <w:rsid w:val="00BE7008"/>
    <w:rsid w:val="00BF050A"/>
    <w:rsid w:val="00BF0F24"/>
    <w:rsid w:val="00BF2EA5"/>
    <w:rsid w:val="00BF38A7"/>
    <w:rsid w:val="00BF3CDB"/>
    <w:rsid w:val="00BF431F"/>
    <w:rsid w:val="00BF50CA"/>
    <w:rsid w:val="00BF755B"/>
    <w:rsid w:val="00C0142B"/>
    <w:rsid w:val="00C039B5"/>
    <w:rsid w:val="00C03F22"/>
    <w:rsid w:val="00C04979"/>
    <w:rsid w:val="00C07631"/>
    <w:rsid w:val="00C078A0"/>
    <w:rsid w:val="00C07BBE"/>
    <w:rsid w:val="00C123D8"/>
    <w:rsid w:val="00C12451"/>
    <w:rsid w:val="00C12A53"/>
    <w:rsid w:val="00C134FD"/>
    <w:rsid w:val="00C14237"/>
    <w:rsid w:val="00C14E57"/>
    <w:rsid w:val="00C1501A"/>
    <w:rsid w:val="00C15C73"/>
    <w:rsid w:val="00C16A3A"/>
    <w:rsid w:val="00C17482"/>
    <w:rsid w:val="00C17A24"/>
    <w:rsid w:val="00C21411"/>
    <w:rsid w:val="00C21D8F"/>
    <w:rsid w:val="00C22221"/>
    <w:rsid w:val="00C23753"/>
    <w:rsid w:val="00C2457C"/>
    <w:rsid w:val="00C2477A"/>
    <w:rsid w:val="00C24D00"/>
    <w:rsid w:val="00C2588A"/>
    <w:rsid w:val="00C2616D"/>
    <w:rsid w:val="00C262C4"/>
    <w:rsid w:val="00C30678"/>
    <w:rsid w:val="00C30EBC"/>
    <w:rsid w:val="00C326B6"/>
    <w:rsid w:val="00C335C8"/>
    <w:rsid w:val="00C358D7"/>
    <w:rsid w:val="00C35AAF"/>
    <w:rsid w:val="00C35C69"/>
    <w:rsid w:val="00C36085"/>
    <w:rsid w:val="00C362F8"/>
    <w:rsid w:val="00C37940"/>
    <w:rsid w:val="00C41434"/>
    <w:rsid w:val="00C42173"/>
    <w:rsid w:val="00C43B64"/>
    <w:rsid w:val="00C44016"/>
    <w:rsid w:val="00C445B9"/>
    <w:rsid w:val="00C44701"/>
    <w:rsid w:val="00C45DC5"/>
    <w:rsid w:val="00C47053"/>
    <w:rsid w:val="00C472D6"/>
    <w:rsid w:val="00C474B5"/>
    <w:rsid w:val="00C507ED"/>
    <w:rsid w:val="00C514F7"/>
    <w:rsid w:val="00C51B03"/>
    <w:rsid w:val="00C5247B"/>
    <w:rsid w:val="00C54078"/>
    <w:rsid w:val="00C5418E"/>
    <w:rsid w:val="00C54394"/>
    <w:rsid w:val="00C54562"/>
    <w:rsid w:val="00C548D4"/>
    <w:rsid w:val="00C558F2"/>
    <w:rsid w:val="00C566E6"/>
    <w:rsid w:val="00C56819"/>
    <w:rsid w:val="00C61DB1"/>
    <w:rsid w:val="00C622CA"/>
    <w:rsid w:val="00C636E5"/>
    <w:rsid w:val="00C64173"/>
    <w:rsid w:val="00C6486C"/>
    <w:rsid w:val="00C653BE"/>
    <w:rsid w:val="00C66BAE"/>
    <w:rsid w:val="00C66CA7"/>
    <w:rsid w:val="00C676C9"/>
    <w:rsid w:val="00C703A6"/>
    <w:rsid w:val="00C70549"/>
    <w:rsid w:val="00C70F43"/>
    <w:rsid w:val="00C72DA8"/>
    <w:rsid w:val="00C738A3"/>
    <w:rsid w:val="00C74334"/>
    <w:rsid w:val="00C75AB5"/>
    <w:rsid w:val="00C76E5A"/>
    <w:rsid w:val="00C80845"/>
    <w:rsid w:val="00C8115F"/>
    <w:rsid w:val="00C820FA"/>
    <w:rsid w:val="00C82529"/>
    <w:rsid w:val="00C829F4"/>
    <w:rsid w:val="00C85A11"/>
    <w:rsid w:val="00C86EC1"/>
    <w:rsid w:val="00C87112"/>
    <w:rsid w:val="00C87250"/>
    <w:rsid w:val="00C87489"/>
    <w:rsid w:val="00C87F14"/>
    <w:rsid w:val="00C91183"/>
    <w:rsid w:val="00C915ED"/>
    <w:rsid w:val="00C931E7"/>
    <w:rsid w:val="00C949C8"/>
    <w:rsid w:val="00C954D5"/>
    <w:rsid w:val="00C95C9F"/>
    <w:rsid w:val="00C96650"/>
    <w:rsid w:val="00C9701F"/>
    <w:rsid w:val="00C9768B"/>
    <w:rsid w:val="00CA0722"/>
    <w:rsid w:val="00CA079F"/>
    <w:rsid w:val="00CA081E"/>
    <w:rsid w:val="00CA41B5"/>
    <w:rsid w:val="00CA46DF"/>
    <w:rsid w:val="00CA7171"/>
    <w:rsid w:val="00CA7570"/>
    <w:rsid w:val="00CA77DB"/>
    <w:rsid w:val="00CB2467"/>
    <w:rsid w:val="00CB2CAB"/>
    <w:rsid w:val="00CB4FC6"/>
    <w:rsid w:val="00CB57DA"/>
    <w:rsid w:val="00CB6C25"/>
    <w:rsid w:val="00CB7D60"/>
    <w:rsid w:val="00CC1B07"/>
    <w:rsid w:val="00CC1F35"/>
    <w:rsid w:val="00CC3235"/>
    <w:rsid w:val="00CC325B"/>
    <w:rsid w:val="00CC36D6"/>
    <w:rsid w:val="00CC3FFB"/>
    <w:rsid w:val="00CC5329"/>
    <w:rsid w:val="00CC6B67"/>
    <w:rsid w:val="00CC713A"/>
    <w:rsid w:val="00CC7A49"/>
    <w:rsid w:val="00CD0049"/>
    <w:rsid w:val="00CD048A"/>
    <w:rsid w:val="00CD05AA"/>
    <w:rsid w:val="00CD0857"/>
    <w:rsid w:val="00CD1533"/>
    <w:rsid w:val="00CD22D4"/>
    <w:rsid w:val="00CD3417"/>
    <w:rsid w:val="00CD44BF"/>
    <w:rsid w:val="00CD5E4A"/>
    <w:rsid w:val="00CD5ECD"/>
    <w:rsid w:val="00CD6050"/>
    <w:rsid w:val="00CD630F"/>
    <w:rsid w:val="00CE1002"/>
    <w:rsid w:val="00CE1FB4"/>
    <w:rsid w:val="00CE355C"/>
    <w:rsid w:val="00CE3F3B"/>
    <w:rsid w:val="00CE4133"/>
    <w:rsid w:val="00CE4651"/>
    <w:rsid w:val="00CE492B"/>
    <w:rsid w:val="00CE4E9A"/>
    <w:rsid w:val="00CE6C19"/>
    <w:rsid w:val="00CE6CD8"/>
    <w:rsid w:val="00CE6F2E"/>
    <w:rsid w:val="00CE7956"/>
    <w:rsid w:val="00CE7F02"/>
    <w:rsid w:val="00CF0C4F"/>
    <w:rsid w:val="00CF1C2D"/>
    <w:rsid w:val="00CF1FC7"/>
    <w:rsid w:val="00CF3055"/>
    <w:rsid w:val="00CF322F"/>
    <w:rsid w:val="00CF3D45"/>
    <w:rsid w:val="00CF52D0"/>
    <w:rsid w:val="00CF5579"/>
    <w:rsid w:val="00CF562F"/>
    <w:rsid w:val="00CF6288"/>
    <w:rsid w:val="00CF672D"/>
    <w:rsid w:val="00CF7A62"/>
    <w:rsid w:val="00D002E4"/>
    <w:rsid w:val="00D01447"/>
    <w:rsid w:val="00D0315F"/>
    <w:rsid w:val="00D038BE"/>
    <w:rsid w:val="00D03C56"/>
    <w:rsid w:val="00D03C6A"/>
    <w:rsid w:val="00D0461E"/>
    <w:rsid w:val="00D10464"/>
    <w:rsid w:val="00D107EB"/>
    <w:rsid w:val="00D10C44"/>
    <w:rsid w:val="00D11F80"/>
    <w:rsid w:val="00D125BC"/>
    <w:rsid w:val="00D1269D"/>
    <w:rsid w:val="00D12D47"/>
    <w:rsid w:val="00D133F4"/>
    <w:rsid w:val="00D14871"/>
    <w:rsid w:val="00D152A2"/>
    <w:rsid w:val="00D15720"/>
    <w:rsid w:val="00D15F23"/>
    <w:rsid w:val="00D1689B"/>
    <w:rsid w:val="00D20EB8"/>
    <w:rsid w:val="00D240A5"/>
    <w:rsid w:val="00D24136"/>
    <w:rsid w:val="00D257A4"/>
    <w:rsid w:val="00D25FFD"/>
    <w:rsid w:val="00D267F2"/>
    <w:rsid w:val="00D26A0E"/>
    <w:rsid w:val="00D2796B"/>
    <w:rsid w:val="00D27BBB"/>
    <w:rsid w:val="00D30602"/>
    <w:rsid w:val="00D311A4"/>
    <w:rsid w:val="00D3124E"/>
    <w:rsid w:val="00D3194F"/>
    <w:rsid w:val="00D3224D"/>
    <w:rsid w:val="00D333A5"/>
    <w:rsid w:val="00D34F77"/>
    <w:rsid w:val="00D350E5"/>
    <w:rsid w:val="00D36E90"/>
    <w:rsid w:val="00D370D3"/>
    <w:rsid w:val="00D40459"/>
    <w:rsid w:val="00D40C42"/>
    <w:rsid w:val="00D417DC"/>
    <w:rsid w:val="00D420C7"/>
    <w:rsid w:val="00D43EFF"/>
    <w:rsid w:val="00D44557"/>
    <w:rsid w:val="00D45372"/>
    <w:rsid w:val="00D469E6"/>
    <w:rsid w:val="00D47704"/>
    <w:rsid w:val="00D47B65"/>
    <w:rsid w:val="00D50B1B"/>
    <w:rsid w:val="00D5137A"/>
    <w:rsid w:val="00D524D7"/>
    <w:rsid w:val="00D53B03"/>
    <w:rsid w:val="00D53EE1"/>
    <w:rsid w:val="00D5408C"/>
    <w:rsid w:val="00D54534"/>
    <w:rsid w:val="00D563BB"/>
    <w:rsid w:val="00D60249"/>
    <w:rsid w:val="00D6026D"/>
    <w:rsid w:val="00D60771"/>
    <w:rsid w:val="00D61516"/>
    <w:rsid w:val="00D61A49"/>
    <w:rsid w:val="00D62519"/>
    <w:rsid w:val="00D6353F"/>
    <w:rsid w:val="00D6360B"/>
    <w:rsid w:val="00D64E2B"/>
    <w:rsid w:val="00D66086"/>
    <w:rsid w:val="00D66A93"/>
    <w:rsid w:val="00D71739"/>
    <w:rsid w:val="00D71AE8"/>
    <w:rsid w:val="00D729DE"/>
    <w:rsid w:val="00D730B7"/>
    <w:rsid w:val="00D73BF3"/>
    <w:rsid w:val="00D74B3E"/>
    <w:rsid w:val="00D75295"/>
    <w:rsid w:val="00D75BB6"/>
    <w:rsid w:val="00D767F6"/>
    <w:rsid w:val="00D85AE7"/>
    <w:rsid w:val="00D8667E"/>
    <w:rsid w:val="00D87031"/>
    <w:rsid w:val="00D87043"/>
    <w:rsid w:val="00D90008"/>
    <w:rsid w:val="00D909FD"/>
    <w:rsid w:val="00D919B1"/>
    <w:rsid w:val="00D945E6"/>
    <w:rsid w:val="00D94DFE"/>
    <w:rsid w:val="00D97734"/>
    <w:rsid w:val="00DA1C0C"/>
    <w:rsid w:val="00DA22EC"/>
    <w:rsid w:val="00DA27B1"/>
    <w:rsid w:val="00DA3B00"/>
    <w:rsid w:val="00DA4293"/>
    <w:rsid w:val="00DA552E"/>
    <w:rsid w:val="00DA6B8D"/>
    <w:rsid w:val="00DA6FDB"/>
    <w:rsid w:val="00DA7333"/>
    <w:rsid w:val="00DB0607"/>
    <w:rsid w:val="00DB38EA"/>
    <w:rsid w:val="00DB4451"/>
    <w:rsid w:val="00DB4728"/>
    <w:rsid w:val="00DB48EE"/>
    <w:rsid w:val="00DB5D2E"/>
    <w:rsid w:val="00DB7202"/>
    <w:rsid w:val="00DC05E1"/>
    <w:rsid w:val="00DC22BF"/>
    <w:rsid w:val="00DC2937"/>
    <w:rsid w:val="00DC4309"/>
    <w:rsid w:val="00DC48DD"/>
    <w:rsid w:val="00DC64B9"/>
    <w:rsid w:val="00DC69AA"/>
    <w:rsid w:val="00DC7720"/>
    <w:rsid w:val="00DC7A92"/>
    <w:rsid w:val="00DD0193"/>
    <w:rsid w:val="00DD0FE3"/>
    <w:rsid w:val="00DD14C0"/>
    <w:rsid w:val="00DD224C"/>
    <w:rsid w:val="00DD3FF2"/>
    <w:rsid w:val="00DD4855"/>
    <w:rsid w:val="00DD4BC7"/>
    <w:rsid w:val="00DD56BF"/>
    <w:rsid w:val="00DD5D22"/>
    <w:rsid w:val="00DE15FC"/>
    <w:rsid w:val="00DE4660"/>
    <w:rsid w:val="00DE60C7"/>
    <w:rsid w:val="00DE7DD6"/>
    <w:rsid w:val="00DF0B7F"/>
    <w:rsid w:val="00DF1472"/>
    <w:rsid w:val="00DF1BD1"/>
    <w:rsid w:val="00DF2601"/>
    <w:rsid w:val="00DF32DB"/>
    <w:rsid w:val="00DF51E6"/>
    <w:rsid w:val="00DF6319"/>
    <w:rsid w:val="00DF6AEA"/>
    <w:rsid w:val="00E00B39"/>
    <w:rsid w:val="00E00B52"/>
    <w:rsid w:val="00E00F43"/>
    <w:rsid w:val="00E039DF"/>
    <w:rsid w:val="00E03BC8"/>
    <w:rsid w:val="00E059C6"/>
    <w:rsid w:val="00E05D07"/>
    <w:rsid w:val="00E067BA"/>
    <w:rsid w:val="00E07964"/>
    <w:rsid w:val="00E07FC9"/>
    <w:rsid w:val="00E10392"/>
    <w:rsid w:val="00E10FF5"/>
    <w:rsid w:val="00E11180"/>
    <w:rsid w:val="00E1156D"/>
    <w:rsid w:val="00E118BB"/>
    <w:rsid w:val="00E12A88"/>
    <w:rsid w:val="00E12C22"/>
    <w:rsid w:val="00E135E5"/>
    <w:rsid w:val="00E13938"/>
    <w:rsid w:val="00E14ED2"/>
    <w:rsid w:val="00E14F59"/>
    <w:rsid w:val="00E16598"/>
    <w:rsid w:val="00E171BB"/>
    <w:rsid w:val="00E175CE"/>
    <w:rsid w:val="00E217E8"/>
    <w:rsid w:val="00E220A4"/>
    <w:rsid w:val="00E229F5"/>
    <w:rsid w:val="00E23228"/>
    <w:rsid w:val="00E236EA"/>
    <w:rsid w:val="00E237E2"/>
    <w:rsid w:val="00E23AAB"/>
    <w:rsid w:val="00E2417D"/>
    <w:rsid w:val="00E24531"/>
    <w:rsid w:val="00E2532D"/>
    <w:rsid w:val="00E2550E"/>
    <w:rsid w:val="00E27103"/>
    <w:rsid w:val="00E310D0"/>
    <w:rsid w:val="00E35727"/>
    <w:rsid w:val="00E35AED"/>
    <w:rsid w:val="00E36178"/>
    <w:rsid w:val="00E3682F"/>
    <w:rsid w:val="00E36BDA"/>
    <w:rsid w:val="00E402E6"/>
    <w:rsid w:val="00E40644"/>
    <w:rsid w:val="00E40B50"/>
    <w:rsid w:val="00E40FF5"/>
    <w:rsid w:val="00E415B6"/>
    <w:rsid w:val="00E42D60"/>
    <w:rsid w:val="00E44860"/>
    <w:rsid w:val="00E456CA"/>
    <w:rsid w:val="00E45B1A"/>
    <w:rsid w:val="00E45F6D"/>
    <w:rsid w:val="00E46888"/>
    <w:rsid w:val="00E50FE1"/>
    <w:rsid w:val="00E51633"/>
    <w:rsid w:val="00E51801"/>
    <w:rsid w:val="00E52649"/>
    <w:rsid w:val="00E53763"/>
    <w:rsid w:val="00E53C0E"/>
    <w:rsid w:val="00E541A5"/>
    <w:rsid w:val="00E545FE"/>
    <w:rsid w:val="00E5522C"/>
    <w:rsid w:val="00E55876"/>
    <w:rsid w:val="00E56419"/>
    <w:rsid w:val="00E56EDF"/>
    <w:rsid w:val="00E575A5"/>
    <w:rsid w:val="00E60230"/>
    <w:rsid w:val="00E61C40"/>
    <w:rsid w:val="00E6203D"/>
    <w:rsid w:val="00E630BE"/>
    <w:rsid w:val="00E6356C"/>
    <w:rsid w:val="00E64618"/>
    <w:rsid w:val="00E64D48"/>
    <w:rsid w:val="00E65B29"/>
    <w:rsid w:val="00E6692E"/>
    <w:rsid w:val="00E67383"/>
    <w:rsid w:val="00E7158E"/>
    <w:rsid w:val="00E72755"/>
    <w:rsid w:val="00E72B04"/>
    <w:rsid w:val="00E73BD8"/>
    <w:rsid w:val="00E74BCC"/>
    <w:rsid w:val="00E762F2"/>
    <w:rsid w:val="00E76768"/>
    <w:rsid w:val="00E77492"/>
    <w:rsid w:val="00E7792B"/>
    <w:rsid w:val="00E77E05"/>
    <w:rsid w:val="00E77FC2"/>
    <w:rsid w:val="00E80598"/>
    <w:rsid w:val="00E8373D"/>
    <w:rsid w:val="00E83CCD"/>
    <w:rsid w:val="00E83F22"/>
    <w:rsid w:val="00E843E0"/>
    <w:rsid w:val="00E8468C"/>
    <w:rsid w:val="00E84814"/>
    <w:rsid w:val="00E8482E"/>
    <w:rsid w:val="00E84BC8"/>
    <w:rsid w:val="00E85912"/>
    <w:rsid w:val="00E86FC8"/>
    <w:rsid w:val="00E87746"/>
    <w:rsid w:val="00E8785F"/>
    <w:rsid w:val="00E87B8A"/>
    <w:rsid w:val="00E908F7"/>
    <w:rsid w:val="00E90983"/>
    <w:rsid w:val="00E90DBE"/>
    <w:rsid w:val="00E90E98"/>
    <w:rsid w:val="00E91553"/>
    <w:rsid w:val="00E917ED"/>
    <w:rsid w:val="00E91CBE"/>
    <w:rsid w:val="00E94D5D"/>
    <w:rsid w:val="00E951B6"/>
    <w:rsid w:val="00E9601B"/>
    <w:rsid w:val="00E97185"/>
    <w:rsid w:val="00E97405"/>
    <w:rsid w:val="00EA07FE"/>
    <w:rsid w:val="00EA0967"/>
    <w:rsid w:val="00EA1436"/>
    <w:rsid w:val="00EA2E51"/>
    <w:rsid w:val="00EA4439"/>
    <w:rsid w:val="00EA53A2"/>
    <w:rsid w:val="00EA5528"/>
    <w:rsid w:val="00EA6669"/>
    <w:rsid w:val="00EA7024"/>
    <w:rsid w:val="00EB1A09"/>
    <w:rsid w:val="00EB20EE"/>
    <w:rsid w:val="00EB2562"/>
    <w:rsid w:val="00EB2B02"/>
    <w:rsid w:val="00EB3CE6"/>
    <w:rsid w:val="00EB42B4"/>
    <w:rsid w:val="00EB58A8"/>
    <w:rsid w:val="00EB5DB0"/>
    <w:rsid w:val="00EB5E9F"/>
    <w:rsid w:val="00EB6143"/>
    <w:rsid w:val="00EB79EC"/>
    <w:rsid w:val="00EC02BF"/>
    <w:rsid w:val="00EC1A75"/>
    <w:rsid w:val="00EC22E1"/>
    <w:rsid w:val="00EC34FA"/>
    <w:rsid w:val="00EC3F1F"/>
    <w:rsid w:val="00EC5691"/>
    <w:rsid w:val="00EC7296"/>
    <w:rsid w:val="00EC7D52"/>
    <w:rsid w:val="00ED06E1"/>
    <w:rsid w:val="00ED0922"/>
    <w:rsid w:val="00ED210B"/>
    <w:rsid w:val="00ED23B4"/>
    <w:rsid w:val="00ED373F"/>
    <w:rsid w:val="00ED595A"/>
    <w:rsid w:val="00ED6586"/>
    <w:rsid w:val="00ED7F4F"/>
    <w:rsid w:val="00ED7F63"/>
    <w:rsid w:val="00EE1B80"/>
    <w:rsid w:val="00EE1F35"/>
    <w:rsid w:val="00EE2039"/>
    <w:rsid w:val="00EE2819"/>
    <w:rsid w:val="00EE341F"/>
    <w:rsid w:val="00EE3ED7"/>
    <w:rsid w:val="00EE4B25"/>
    <w:rsid w:val="00EE57A8"/>
    <w:rsid w:val="00EE6018"/>
    <w:rsid w:val="00EE6202"/>
    <w:rsid w:val="00EE6F6C"/>
    <w:rsid w:val="00EE70E1"/>
    <w:rsid w:val="00EE7A32"/>
    <w:rsid w:val="00EE7F29"/>
    <w:rsid w:val="00EF077F"/>
    <w:rsid w:val="00EF08C1"/>
    <w:rsid w:val="00EF0C86"/>
    <w:rsid w:val="00EF1795"/>
    <w:rsid w:val="00EF2225"/>
    <w:rsid w:val="00EF231A"/>
    <w:rsid w:val="00EF23B9"/>
    <w:rsid w:val="00EF289A"/>
    <w:rsid w:val="00EF312F"/>
    <w:rsid w:val="00EF3E16"/>
    <w:rsid w:val="00EF45E0"/>
    <w:rsid w:val="00EF4707"/>
    <w:rsid w:val="00EF4989"/>
    <w:rsid w:val="00EF5A02"/>
    <w:rsid w:val="00EF5A96"/>
    <w:rsid w:val="00EF66B1"/>
    <w:rsid w:val="00F01342"/>
    <w:rsid w:val="00F0163D"/>
    <w:rsid w:val="00F020D2"/>
    <w:rsid w:val="00F02F87"/>
    <w:rsid w:val="00F03055"/>
    <w:rsid w:val="00F052F2"/>
    <w:rsid w:val="00F06A10"/>
    <w:rsid w:val="00F10EE6"/>
    <w:rsid w:val="00F11EA5"/>
    <w:rsid w:val="00F1304D"/>
    <w:rsid w:val="00F154B6"/>
    <w:rsid w:val="00F203F8"/>
    <w:rsid w:val="00F215FA"/>
    <w:rsid w:val="00F23047"/>
    <w:rsid w:val="00F24EE9"/>
    <w:rsid w:val="00F25500"/>
    <w:rsid w:val="00F2559B"/>
    <w:rsid w:val="00F2564E"/>
    <w:rsid w:val="00F26E79"/>
    <w:rsid w:val="00F26FD4"/>
    <w:rsid w:val="00F30534"/>
    <w:rsid w:val="00F308A3"/>
    <w:rsid w:val="00F32089"/>
    <w:rsid w:val="00F334BC"/>
    <w:rsid w:val="00F34904"/>
    <w:rsid w:val="00F35780"/>
    <w:rsid w:val="00F37AC1"/>
    <w:rsid w:val="00F400C9"/>
    <w:rsid w:val="00F41032"/>
    <w:rsid w:val="00F41BC1"/>
    <w:rsid w:val="00F41CA2"/>
    <w:rsid w:val="00F43C33"/>
    <w:rsid w:val="00F47942"/>
    <w:rsid w:val="00F47FA7"/>
    <w:rsid w:val="00F52355"/>
    <w:rsid w:val="00F53ED7"/>
    <w:rsid w:val="00F54721"/>
    <w:rsid w:val="00F55D32"/>
    <w:rsid w:val="00F577A2"/>
    <w:rsid w:val="00F60043"/>
    <w:rsid w:val="00F6031C"/>
    <w:rsid w:val="00F60A09"/>
    <w:rsid w:val="00F60A52"/>
    <w:rsid w:val="00F62E9B"/>
    <w:rsid w:val="00F63C9F"/>
    <w:rsid w:val="00F63F63"/>
    <w:rsid w:val="00F656D5"/>
    <w:rsid w:val="00F6748B"/>
    <w:rsid w:val="00F70D52"/>
    <w:rsid w:val="00F7244D"/>
    <w:rsid w:val="00F729FD"/>
    <w:rsid w:val="00F7393F"/>
    <w:rsid w:val="00F755F6"/>
    <w:rsid w:val="00F757DB"/>
    <w:rsid w:val="00F75B97"/>
    <w:rsid w:val="00F76CD0"/>
    <w:rsid w:val="00F80875"/>
    <w:rsid w:val="00F814B1"/>
    <w:rsid w:val="00F81A97"/>
    <w:rsid w:val="00F81F1D"/>
    <w:rsid w:val="00F8248C"/>
    <w:rsid w:val="00F8320C"/>
    <w:rsid w:val="00F83FFB"/>
    <w:rsid w:val="00F857FB"/>
    <w:rsid w:val="00F9049A"/>
    <w:rsid w:val="00F90737"/>
    <w:rsid w:val="00F90758"/>
    <w:rsid w:val="00F9171A"/>
    <w:rsid w:val="00F91CB3"/>
    <w:rsid w:val="00F92B97"/>
    <w:rsid w:val="00F92E2E"/>
    <w:rsid w:val="00F9301B"/>
    <w:rsid w:val="00F93066"/>
    <w:rsid w:val="00F930FE"/>
    <w:rsid w:val="00F93805"/>
    <w:rsid w:val="00F93F02"/>
    <w:rsid w:val="00F946F3"/>
    <w:rsid w:val="00F95B33"/>
    <w:rsid w:val="00F96B36"/>
    <w:rsid w:val="00F96ED3"/>
    <w:rsid w:val="00FA0261"/>
    <w:rsid w:val="00FA17B6"/>
    <w:rsid w:val="00FA1DFD"/>
    <w:rsid w:val="00FA2D93"/>
    <w:rsid w:val="00FA35C5"/>
    <w:rsid w:val="00FA3721"/>
    <w:rsid w:val="00FA427A"/>
    <w:rsid w:val="00FA434A"/>
    <w:rsid w:val="00FA5D9A"/>
    <w:rsid w:val="00FA706C"/>
    <w:rsid w:val="00FA72FB"/>
    <w:rsid w:val="00FA7A1B"/>
    <w:rsid w:val="00FB0369"/>
    <w:rsid w:val="00FB1874"/>
    <w:rsid w:val="00FB24CF"/>
    <w:rsid w:val="00FB2849"/>
    <w:rsid w:val="00FB2D44"/>
    <w:rsid w:val="00FB2EFD"/>
    <w:rsid w:val="00FB31BC"/>
    <w:rsid w:val="00FB3A1C"/>
    <w:rsid w:val="00FB5870"/>
    <w:rsid w:val="00FB6230"/>
    <w:rsid w:val="00FB77FC"/>
    <w:rsid w:val="00FC0BB8"/>
    <w:rsid w:val="00FC0EF3"/>
    <w:rsid w:val="00FC165B"/>
    <w:rsid w:val="00FC2E05"/>
    <w:rsid w:val="00FC33AA"/>
    <w:rsid w:val="00FC370B"/>
    <w:rsid w:val="00FC4D31"/>
    <w:rsid w:val="00FC52E0"/>
    <w:rsid w:val="00FC67DE"/>
    <w:rsid w:val="00FC7BAE"/>
    <w:rsid w:val="00FD2060"/>
    <w:rsid w:val="00FD261F"/>
    <w:rsid w:val="00FD29E2"/>
    <w:rsid w:val="00FD29F2"/>
    <w:rsid w:val="00FD2BCB"/>
    <w:rsid w:val="00FD3138"/>
    <w:rsid w:val="00FD3B12"/>
    <w:rsid w:val="00FD4CAB"/>
    <w:rsid w:val="00FD4D2D"/>
    <w:rsid w:val="00FD57E3"/>
    <w:rsid w:val="00FD63B8"/>
    <w:rsid w:val="00FD6C56"/>
    <w:rsid w:val="00FD7A96"/>
    <w:rsid w:val="00FE01B9"/>
    <w:rsid w:val="00FE0B78"/>
    <w:rsid w:val="00FE0F36"/>
    <w:rsid w:val="00FE10FE"/>
    <w:rsid w:val="00FE13EF"/>
    <w:rsid w:val="00FE16D8"/>
    <w:rsid w:val="00FE1820"/>
    <w:rsid w:val="00FE32EA"/>
    <w:rsid w:val="00FE343B"/>
    <w:rsid w:val="00FE4B55"/>
    <w:rsid w:val="00FE4BD8"/>
    <w:rsid w:val="00FE6165"/>
    <w:rsid w:val="00FE693A"/>
    <w:rsid w:val="00FE6A6F"/>
    <w:rsid w:val="00FE6EB5"/>
    <w:rsid w:val="00FE7239"/>
    <w:rsid w:val="00FE7422"/>
    <w:rsid w:val="00FF02DB"/>
    <w:rsid w:val="00FF04DC"/>
    <w:rsid w:val="00FF075D"/>
    <w:rsid w:val="00FF0E66"/>
    <w:rsid w:val="00FF12A2"/>
    <w:rsid w:val="00FF13F9"/>
    <w:rsid w:val="00FF14F5"/>
    <w:rsid w:val="00FF19D1"/>
    <w:rsid w:val="00FF2EF2"/>
    <w:rsid w:val="00FF2F6B"/>
    <w:rsid w:val="00FF32CE"/>
    <w:rsid w:val="00FF417E"/>
    <w:rsid w:val="00FF42A8"/>
    <w:rsid w:val="00FF489F"/>
    <w:rsid w:val="00FF51CC"/>
    <w:rsid w:val="00FF557D"/>
    <w:rsid w:val="00FF6C11"/>
    <w:rsid w:val="00FF6D6A"/>
    <w:rsid w:val="00FF7F7C"/>
    <w:rsid w:val="010802AB"/>
    <w:rsid w:val="01863CD4"/>
    <w:rsid w:val="02693733"/>
    <w:rsid w:val="027520D7"/>
    <w:rsid w:val="0383310E"/>
    <w:rsid w:val="03885E3A"/>
    <w:rsid w:val="039E740C"/>
    <w:rsid w:val="03A6718F"/>
    <w:rsid w:val="03BA2ABC"/>
    <w:rsid w:val="04914B02"/>
    <w:rsid w:val="0594700E"/>
    <w:rsid w:val="061439B5"/>
    <w:rsid w:val="06533846"/>
    <w:rsid w:val="08507A5A"/>
    <w:rsid w:val="08803584"/>
    <w:rsid w:val="08E34028"/>
    <w:rsid w:val="08FC2999"/>
    <w:rsid w:val="090B6388"/>
    <w:rsid w:val="094840A2"/>
    <w:rsid w:val="099C718D"/>
    <w:rsid w:val="09EB0ED1"/>
    <w:rsid w:val="09EF3648"/>
    <w:rsid w:val="0A0B50CF"/>
    <w:rsid w:val="0A4A209B"/>
    <w:rsid w:val="0A570314"/>
    <w:rsid w:val="0B495EAF"/>
    <w:rsid w:val="0B7373D0"/>
    <w:rsid w:val="0BD600FC"/>
    <w:rsid w:val="0C5A00B9"/>
    <w:rsid w:val="0C620F42"/>
    <w:rsid w:val="0C66524E"/>
    <w:rsid w:val="0C8460EE"/>
    <w:rsid w:val="0CEB1914"/>
    <w:rsid w:val="0D8367DE"/>
    <w:rsid w:val="0E0C5732"/>
    <w:rsid w:val="0E16761E"/>
    <w:rsid w:val="0F174D0F"/>
    <w:rsid w:val="0F76748F"/>
    <w:rsid w:val="0FF80266"/>
    <w:rsid w:val="10191947"/>
    <w:rsid w:val="10AA13B1"/>
    <w:rsid w:val="10B95885"/>
    <w:rsid w:val="10E945E4"/>
    <w:rsid w:val="118048FA"/>
    <w:rsid w:val="118C4D48"/>
    <w:rsid w:val="11F17CE5"/>
    <w:rsid w:val="12042B30"/>
    <w:rsid w:val="12646E55"/>
    <w:rsid w:val="1279351E"/>
    <w:rsid w:val="13347445"/>
    <w:rsid w:val="13505FA3"/>
    <w:rsid w:val="13B53A75"/>
    <w:rsid w:val="14783FE7"/>
    <w:rsid w:val="151D2886"/>
    <w:rsid w:val="152D6842"/>
    <w:rsid w:val="15AD350D"/>
    <w:rsid w:val="15D626EC"/>
    <w:rsid w:val="15DC58E8"/>
    <w:rsid w:val="15FD30F9"/>
    <w:rsid w:val="16FC0DF4"/>
    <w:rsid w:val="179B3F36"/>
    <w:rsid w:val="17E56F60"/>
    <w:rsid w:val="1806208F"/>
    <w:rsid w:val="18585126"/>
    <w:rsid w:val="18A961DF"/>
    <w:rsid w:val="18CD51AA"/>
    <w:rsid w:val="18EB2D08"/>
    <w:rsid w:val="19324EB8"/>
    <w:rsid w:val="1A465A19"/>
    <w:rsid w:val="1A950225"/>
    <w:rsid w:val="1AB30BDD"/>
    <w:rsid w:val="1AF20311"/>
    <w:rsid w:val="1B80142C"/>
    <w:rsid w:val="1CA52637"/>
    <w:rsid w:val="1E5F6862"/>
    <w:rsid w:val="1E8B4C70"/>
    <w:rsid w:val="1F2C201E"/>
    <w:rsid w:val="1F8D383C"/>
    <w:rsid w:val="1FB9548D"/>
    <w:rsid w:val="20D44015"/>
    <w:rsid w:val="20D54030"/>
    <w:rsid w:val="21090163"/>
    <w:rsid w:val="217A696B"/>
    <w:rsid w:val="218A5844"/>
    <w:rsid w:val="21B225A8"/>
    <w:rsid w:val="21B4406F"/>
    <w:rsid w:val="220C0960"/>
    <w:rsid w:val="22220927"/>
    <w:rsid w:val="238A3FE8"/>
    <w:rsid w:val="23C326FC"/>
    <w:rsid w:val="2423778D"/>
    <w:rsid w:val="244962F4"/>
    <w:rsid w:val="245636BF"/>
    <w:rsid w:val="24572FDD"/>
    <w:rsid w:val="24735DA9"/>
    <w:rsid w:val="24CE3997"/>
    <w:rsid w:val="25416D88"/>
    <w:rsid w:val="255816B9"/>
    <w:rsid w:val="25772F3C"/>
    <w:rsid w:val="263C5D0A"/>
    <w:rsid w:val="27291A5F"/>
    <w:rsid w:val="2740021B"/>
    <w:rsid w:val="281178FD"/>
    <w:rsid w:val="284136AD"/>
    <w:rsid w:val="288310E2"/>
    <w:rsid w:val="28ED036A"/>
    <w:rsid w:val="29AE5D4B"/>
    <w:rsid w:val="29C54E43"/>
    <w:rsid w:val="29D31F60"/>
    <w:rsid w:val="29D93FE5"/>
    <w:rsid w:val="29E51041"/>
    <w:rsid w:val="29EE439A"/>
    <w:rsid w:val="2A264B5D"/>
    <w:rsid w:val="2B3063C3"/>
    <w:rsid w:val="2BC12D1D"/>
    <w:rsid w:val="2C29688B"/>
    <w:rsid w:val="2C3818FC"/>
    <w:rsid w:val="2C4C5DA7"/>
    <w:rsid w:val="2D7B5F44"/>
    <w:rsid w:val="2DB81892"/>
    <w:rsid w:val="2E725DB7"/>
    <w:rsid w:val="2E73715D"/>
    <w:rsid w:val="2EC102CF"/>
    <w:rsid w:val="30462AA4"/>
    <w:rsid w:val="30586A11"/>
    <w:rsid w:val="31DD5420"/>
    <w:rsid w:val="324D6E5B"/>
    <w:rsid w:val="32CB171C"/>
    <w:rsid w:val="32D5082C"/>
    <w:rsid w:val="334622E3"/>
    <w:rsid w:val="339B6127"/>
    <w:rsid w:val="33A8380B"/>
    <w:rsid w:val="343906F7"/>
    <w:rsid w:val="34AC6A12"/>
    <w:rsid w:val="34B51085"/>
    <w:rsid w:val="36104FF7"/>
    <w:rsid w:val="36ED6814"/>
    <w:rsid w:val="372F49AE"/>
    <w:rsid w:val="37752274"/>
    <w:rsid w:val="379E7A8F"/>
    <w:rsid w:val="38907B54"/>
    <w:rsid w:val="38E43132"/>
    <w:rsid w:val="3905700A"/>
    <w:rsid w:val="392A5D82"/>
    <w:rsid w:val="39EA2903"/>
    <w:rsid w:val="3A791A5E"/>
    <w:rsid w:val="3ACF418F"/>
    <w:rsid w:val="3BD57831"/>
    <w:rsid w:val="3BF34C4B"/>
    <w:rsid w:val="3BF515B8"/>
    <w:rsid w:val="3D0855FF"/>
    <w:rsid w:val="3D761594"/>
    <w:rsid w:val="3E077380"/>
    <w:rsid w:val="3E2672E7"/>
    <w:rsid w:val="3F2C4977"/>
    <w:rsid w:val="3FF12096"/>
    <w:rsid w:val="40E0554A"/>
    <w:rsid w:val="41A97BDE"/>
    <w:rsid w:val="41E625EB"/>
    <w:rsid w:val="4260068E"/>
    <w:rsid w:val="429F227D"/>
    <w:rsid w:val="434C25FD"/>
    <w:rsid w:val="43702380"/>
    <w:rsid w:val="43707776"/>
    <w:rsid w:val="444061B3"/>
    <w:rsid w:val="449D459A"/>
    <w:rsid w:val="44A616A1"/>
    <w:rsid w:val="457572C5"/>
    <w:rsid w:val="45B778DE"/>
    <w:rsid w:val="460666BF"/>
    <w:rsid w:val="463158E2"/>
    <w:rsid w:val="46A9191C"/>
    <w:rsid w:val="46AE0CE1"/>
    <w:rsid w:val="472D02B9"/>
    <w:rsid w:val="47D049EE"/>
    <w:rsid w:val="47FD2B34"/>
    <w:rsid w:val="47FD5CB7"/>
    <w:rsid w:val="483526DD"/>
    <w:rsid w:val="492A0972"/>
    <w:rsid w:val="49795D3F"/>
    <w:rsid w:val="49BB0659"/>
    <w:rsid w:val="4A1C0855"/>
    <w:rsid w:val="4A6C3C20"/>
    <w:rsid w:val="4A8545C5"/>
    <w:rsid w:val="4B620F40"/>
    <w:rsid w:val="4C0B3296"/>
    <w:rsid w:val="4C312198"/>
    <w:rsid w:val="4C7E695A"/>
    <w:rsid w:val="4CF04DCA"/>
    <w:rsid w:val="4E4E2C40"/>
    <w:rsid w:val="4E740A3B"/>
    <w:rsid w:val="4EAA009E"/>
    <w:rsid w:val="4EAC01FC"/>
    <w:rsid w:val="4EEF1A5A"/>
    <w:rsid w:val="4F1F1461"/>
    <w:rsid w:val="4F4955EF"/>
    <w:rsid w:val="4F5E0F7B"/>
    <w:rsid w:val="4F675ED1"/>
    <w:rsid w:val="4F801413"/>
    <w:rsid w:val="4FC16BD7"/>
    <w:rsid w:val="4FFA3F48"/>
    <w:rsid w:val="50151DD1"/>
    <w:rsid w:val="50DC2E3D"/>
    <w:rsid w:val="50FE2865"/>
    <w:rsid w:val="51140667"/>
    <w:rsid w:val="51143D64"/>
    <w:rsid w:val="51B12E9E"/>
    <w:rsid w:val="51DA0248"/>
    <w:rsid w:val="52120DB9"/>
    <w:rsid w:val="52175326"/>
    <w:rsid w:val="537863BA"/>
    <w:rsid w:val="54A61249"/>
    <w:rsid w:val="54EB6A7A"/>
    <w:rsid w:val="551D5F9C"/>
    <w:rsid w:val="55200FFC"/>
    <w:rsid w:val="557E3F74"/>
    <w:rsid w:val="55CF368C"/>
    <w:rsid w:val="55DF6A57"/>
    <w:rsid w:val="563C147E"/>
    <w:rsid w:val="566969D2"/>
    <w:rsid w:val="569D63A9"/>
    <w:rsid w:val="56FC35A8"/>
    <w:rsid w:val="57307A0F"/>
    <w:rsid w:val="57BD0DB0"/>
    <w:rsid w:val="580D543D"/>
    <w:rsid w:val="582B2191"/>
    <w:rsid w:val="589E0B17"/>
    <w:rsid w:val="59981AA8"/>
    <w:rsid w:val="59E20132"/>
    <w:rsid w:val="5A0115DF"/>
    <w:rsid w:val="5ABE73D9"/>
    <w:rsid w:val="5B612D32"/>
    <w:rsid w:val="5B996E54"/>
    <w:rsid w:val="5BCB6560"/>
    <w:rsid w:val="5C4001D5"/>
    <w:rsid w:val="5C7C2F83"/>
    <w:rsid w:val="5D5A13D3"/>
    <w:rsid w:val="5D635F29"/>
    <w:rsid w:val="5E921C39"/>
    <w:rsid w:val="5EA11D0A"/>
    <w:rsid w:val="5EB17168"/>
    <w:rsid w:val="6049691C"/>
    <w:rsid w:val="608E59B3"/>
    <w:rsid w:val="60E750C3"/>
    <w:rsid w:val="61265480"/>
    <w:rsid w:val="61637D56"/>
    <w:rsid w:val="61A0683C"/>
    <w:rsid w:val="62087073"/>
    <w:rsid w:val="62AF39BF"/>
    <w:rsid w:val="62C3746A"/>
    <w:rsid w:val="63155F18"/>
    <w:rsid w:val="63E36016"/>
    <w:rsid w:val="640E2967"/>
    <w:rsid w:val="641743D1"/>
    <w:rsid w:val="6467265F"/>
    <w:rsid w:val="64FB346E"/>
    <w:rsid w:val="65A90B99"/>
    <w:rsid w:val="65CB4FB4"/>
    <w:rsid w:val="65FC33BF"/>
    <w:rsid w:val="66E3249A"/>
    <w:rsid w:val="670E499A"/>
    <w:rsid w:val="671B7C04"/>
    <w:rsid w:val="67A05FCC"/>
    <w:rsid w:val="67DC234C"/>
    <w:rsid w:val="67FA1B80"/>
    <w:rsid w:val="68A13DAA"/>
    <w:rsid w:val="68EE6175"/>
    <w:rsid w:val="69670B4F"/>
    <w:rsid w:val="699F29DF"/>
    <w:rsid w:val="69E00902"/>
    <w:rsid w:val="6A701273"/>
    <w:rsid w:val="6AB37DC4"/>
    <w:rsid w:val="6AB50AE8"/>
    <w:rsid w:val="6B981494"/>
    <w:rsid w:val="6BF6265F"/>
    <w:rsid w:val="6C172034"/>
    <w:rsid w:val="6CC91B21"/>
    <w:rsid w:val="6CDF419D"/>
    <w:rsid w:val="6D5B6C1D"/>
    <w:rsid w:val="6D5E1397"/>
    <w:rsid w:val="6EA168B2"/>
    <w:rsid w:val="6F0A08FB"/>
    <w:rsid w:val="6F193BF2"/>
    <w:rsid w:val="6F215C44"/>
    <w:rsid w:val="70253B0C"/>
    <w:rsid w:val="70E441FE"/>
    <w:rsid w:val="71374D50"/>
    <w:rsid w:val="71CF16BE"/>
    <w:rsid w:val="71FD178C"/>
    <w:rsid w:val="72B3590D"/>
    <w:rsid w:val="72BD3ED6"/>
    <w:rsid w:val="72C54B39"/>
    <w:rsid w:val="72F84FAC"/>
    <w:rsid w:val="730020E8"/>
    <w:rsid w:val="73086E83"/>
    <w:rsid w:val="7389446A"/>
    <w:rsid w:val="742A10F7"/>
    <w:rsid w:val="75A0768A"/>
    <w:rsid w:val="75B05449"/>
    <w:rsid w:val="761119E3"/>
    <w:rsid w:val="77D3573F"/>
    <w:rsid w:val="77FA5D85"/>
    <w:rsid w:val="781C67CC"/>
    <w:rsid w:val="782A7918"/>
    <w:rsid w:val="7890213D"/>
    <w:rsid w:val="78CA4C57"/>
    <w:rsid w:val="79134B8F"/>
    <w:rsid w:val="79C75F9C"/>
    <w:rsid w:val="7A2B136E"/>
    <w:rsid w:val="7A8D2D1A"/>
    <w:rsid w:val="7AB318C3"/>
    <w:rsid w:val="7B0C59FB"/>
    <w:rsid w:val="7B433C4D"/>
    <w:rsid w:val="7B6F464A"/>
    <w:rsid w:val="7B737828"/>
    <w:rsid w:val="7C2D0AED"/>
    <w:rsid w:val="7D4F6073"/>
    <w:rsid w:val="7DE71E07"/>
    <w:rsid w:val="7E2E230E"/>
    <w:rsid w:val="7E373F41"/>
    <w:rsid w:val="7E7C4C45"/>
    <w:rsid w:val="7E9F26E2"/>
    <w:rsid w:val="7ED25FDF"/>
    <w:rsid w:val="7EF93B00"/>
    <w:rsid w:val="7F6A3397"/>
    <w:rsid w:val="7F7D5A97"/>
    <w:rsid w:val="7F966AB8"/>
    <w:rsid w:val="7F9F6E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20" w:lineRule="exact"/>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7"/>
    <w:qFormat/>
    <w:uiPriority w:val="9"/>
    <w:pPr>
      <w:keepNext/>
      <w:keepLines/>
      <w:spacing w:before="340" w:after="330" w:line="578" w:lineRule="atLeast"/>
      <w:outlineLvl w:val="0"/>
    </w:pPr>
    <w:rPr>
      <w:b/>
      <w:bCs/>
      <w:kern w:val="44"/>
      <w:sz w:val="44"/>
      <w:szCs w:val="44"/>
    </w:rPr>
  </w:style>
  <w:style w:type="paragraph" w:styleId="5">
    <w:name w:val="heading 2"/>
    <w:basedOn w:val="1"/>
    <w:next w:val="1"/>
    <w:link w:val="38"/>
    <w:unhideWhenUsed/>
    <w:qFormat/>
    <w:uiPriority w:val="9"/>
    <w:pPr>
      <w:keepNext/>
      <w:keepLines/>
      <w:spacing w:before="260" w:after="260" w:line="416" w:lineRule="atLeast"/>
      <w:outlineLvl w:val="1"/>
    </w:pPr>
    <w:rPr>
      <w:rFonts w:asciiTheme="majorHAnsi" w:hAnsiTheme="majorHAnsi" w:eastAsiaTheme="majorEastAsia" w:cstheme="majorBidi"/>
      <w:b/>
      <w:bCs/>
      <w:sz w:val="32"/>
      <w:szCs w:val="32"/>
    </w:rPr>
  </w:style>
  <w:style w:type="paragraph" w:styleId="6">
    <w:name w:val="heading 3"/>
    <w:basedOn w:val="1"/>
    <w:next w:val="1"/>
    <w:link w:val="39"/>
    <w:unhideWhenUsed/>
    <w:qFormat/>
    <w:uiPriority w:val="9"/>
    <w:pPr>
      <w:keepNext/>
      <w:keepLines/>
      <w:spacing w:before="260" w:after="260" w:line="416" w:lineRule="atLeast"/>
      <w:outlineLvl w:val="2"/>
    </w:pPr>
    <w:rPr>
      <w:b/>
      <w:bCs/>
      <w:sz w:val="32"/>
      <w:szCs w:val="32"/>
    </w:rPr>
  </w:style>
  <w:style w:type="paragraph" w:styleId="7">
    <w:name w:val="heading 4"/>
    <w:basedOn w:val="1"/>
    <w:next w:val="1"/>
    <w:link w:val="40"/>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3"/>
    <w:qFormat/>
    <w:uiPriority w:val="0"/>
    <w:pPr>
      <w:spacing w:line="240" w:lineRule="auto"/>
      <w:ind w:firstLine="420" w:firstLineChars="200"/>
      <w:textAlignment w:val="baseline"/>
    </w:pPr>
    <w:rPr>
      <w:rFonts w:ascii="宋体" w:hAnsi="宋体" w:eastAsia="宋体" w:cs="Times New Roman"/>
      <w:sz w:val="28"/>
      <w:szCs w:val="28"/>
    </w:rPr>
  </w:style>
  <w:style w:type="paragraph" w:customStyle="1" w:styleId="3">
    <w:name w:val="BodyTextIndent"/>
    <w:basedOn w:val="1"/>
    <w:qFormat/>
    <w:uiPriority w:val="0"/>
    <w:pPr>
      <w:spacing w:after="120"/>
      <w:ind w:left="420" w:leftChars="200" w:firstLine="200" w:firstLineChars="200"/>
      <w:jc w:val="both"/>
      <w:textAlignment w:val="baseline"/>
    </w:pPr>
  </w:style>
  <w:style w:type="paragraph" w:styleId="8">
    <w:name w:val="toc 7"/>
    <w:basedOn w:val="1"/>
    <w:next w:val="1"/>
    <w:unhideWhenUsed/>
    <w:qFormat/>
    <w:uiPriority w:val="39"/>
    <w:pPr>
      <w:ind w:left="1260"/>
      <w:jc w:val="left"/>
    </w:pPr>
    <w:rPr>
      <w:rFonts w:cstheme="minorHAnsi"/>
      <w:sz w:val="18"/>
      <w:szCs w:val="18"/>
    </w:rPr>
  </w:style>
  <w:style w:type="paragraph" w:styleId="9">
    <w:name w:val="Normal Indent"/>
    <w:basedOn w:val="1"/>
    <w:link w:val="41"/>
    <w:qFormat/>
    <w:uiPriority w:val="0"/>
    <w:pPr>
      <w:widowControl/>
      <w:spacing w:line="240" w:lineRule="auto"/>
      <w:ind w:firstLine="420" w:firstLineChars="200"/>
      <w:jc w:val="left"/>
    </w:pPr>
    <w:rPr>
      <w:szCs w:val="24"/>
    </w:rPr>
  </w:style>
  <w:style w:type="paragraph" w:styleId="10">
    <w:name w:val="Document Map"/>
    <w:basedOn w:val="1"/>
    <w:link w:val="42"/>
    <w:unhideWhenUsed/>
    <w:qFormat/>
    <w:uiPriority w:val="99"/>
    <w:rPr>
      <w:rFonts w:ascii="宋体" w:eastAsia="宋体"/>
      <w:sz w:val="18"/>
      <w:szCs w:val="18"/>
    </w:rPr>
  </w:style>
  <w:style w:type="paragraph" w:styleId="11">
    <w:name w:val="annotation text"/>
    <w:basedOn w:val="1"/>
    <w:link w:val="57"/>
    <w:qFormat/>
    <w:uiPriority w:val="0"/>
    <w:pPr>
      <w:spacing w:line="240" w:lineRule="auto"/>
      <w:jc w:val="left"/>
    </w:pPr>
    <w:rPr>
      <w:rFonts w:ascii="Times New Roman" w:hAnsi="Times New Roman" w:eastAsia="宋体" w:cs="Times New Roman"/>
      <w:szCs w:val="24"/>
    </w:rPr>
  </w:style>
  <w:style w:type="paragraph" w:styleId="12">
    <w:name w:val="Body Text"/>
    <w:basedOn w:val="1"/>
    <w:next w:val="1"/>
    <w:link w:val="51"/>
    <w:semiHidden/>
    <w:unhideWhenUsed/>
    <w:qFormat/>
    <w:uiPriority w:val="99"/>
    <w:pPr>
      <w:spacing w:after="120"/>
    </w:pPr>
  </w:style>
  <w:style w:type="paragraph" w:styleId="13">
    <w:name w:val="Body Text Indent"/>
    <w:basedOn w:val="1"/>
    <w:next w:val="1"/>
    <w:link w:val="49"/>
    <w:qFormat/>
    <w:uiPriority w:val="0"/>
    <w:pPr>
      <w:spacing w:line="360" w:lineRule="auto"/>
      <w:ind w:left="359" w:leftChars="171" w:firstLine="1"/>
    </w:pPr>
    <w:rPr>
      <w:rFonts w:ascii="Times New Roman" w:hAnsi="Times New Roman" w:eastAsia="宋体" w:cs="Times New Roman"/>
      <w:sz w:val="24"/>
      <w:szCs w:val="24"/>
    </w:rPr>
  </w:style>
  <w:style w:type="paragraph" w:styleId="14">
    <w:name w:val="toc 5"/>
    <w:basedOn w:val="1"/>
    <w:next w:val="1"/>
    <w:unhideWhenUsed/>
    <w:qFormat/>
    <w:uiPriority w:val="39"/>
    <w:pPr>
      <w:ind w:left="840"/>
      <w:jc w:val="left"/>
    </w:pPr>
    <w:rPr>
      <w:rFonts w:cstheme="minorHAnsi"/>
      <w:sz w:val="18"/>
      <w:szCs w:val="18"/>
    </w:rPr>
  </w:style>
  <w:style w:type="paragraph" w:styleId="15">
    <w:name w:val="toc 3"/>
    <w:basedOn w:val="1"/>
    <w:next w:val="1"/>
    <w:unhideWhenUsed/>
    <w:qFormat/>
    <w:uiPriority w:val="39"/>
    <w:pPr>
      <w:ind w:left="420"/>
      <w:jc w:val="left"/>
    </w:pPr>
    <w:rPr>
      <w:rFonts w:cstheme="minorHAnsi"/>
      <w:i/>
      <w:iCs/>
      <w:sz w:val="20"/>
      <w:szCs w:val="20"/>
    </w:rPr>
  </w:style>
  <w:style w:type="paragraph" w:styleId="16">
    <w:name w:val="Plain Text"/>
    <w:basedOn w:val="1"/>
    <w:next w:val="1"/>
    <w:qFormat/>
    <w:uiPriority w:val="99"/>
    <w:rPr>
      <w:rFonts w:ascii="宋体" w:hAnsi="Courier New" w:cs="Courier New"/>
      <w:szCs w:val="21"/>
    </w:rPr>
  </w:style>
  <w:style w:type="paragraph" w:styleId="17">
    <w:name w:val="toc 8"/>
    <w:basedOn w:val="1"/>
    <w:next w:val="1"/>
    <w:unhideWhenUsed/>
    <w:qFormat/>
    <w:uiPriority w:val="39"/>
    <w:pPr>
      <w:ind w:left="1470"/>
      <w:jc w:val="left"/>
    </w:pPr>
    <w:rPr>
      <w:rFonts w:cstheme="minorHAnsi"/>
      <w:sz w:val="18"/>
      <w:szCs w:val="18"/>
    </w:rPr>
  </w:style>
  <w:style w:type="paragraph" w:styleId="18">
    <w:name w:val="Date"/>
    <w:basedOn w:val="1"/>
    <w:next w:val="1"/>
    <w:link w:val="43"/>
    <w:unhideWhenUsed/>
    <w:qFormat/>
    <w:uiPriority w:val="99"/>
    <w:pPr>
      <w:ind w:left="100" w:leftChars="2500"/>
    </w:pPr>
  </w:style>
  <w:style w:type="paragraph" w:styleId="19">
    <w:name w:val="Balloon Text"/>
    <w:basedOn w:val="1"/>
    <w:link w:val="44"/>
    <w:unhideWhenUsed/>
    <w:qFormat/>
    <w:uiPriority w:val="99"/>
    <w:pPr>
      <w:spacing w:line="240" w:lineRule="auto"/>
    </w:pPr>
    <w:rPr>
      <w:sz w:val="18"/>
      <w:szCs w:val="18"/>
    </w:rPr>
  </w:style>
  <w:style w:type="paragraph" w:styleId="20">
    <w:name w:val="footer"/>
    <w:basedOn w:val="1"/>
    <w:link w:val="45"/>
    <w:unhideWhenUsed/>
    <w:qFormat/>
    <w:uiPriority w:val="99"/>
    <w:pPr>
      <w:tabs>
        <w:tab w:val="center" w:pos="4153"/>
        <w:tab w:val="right" w:pos="8306"/>
      </w:tabs>
      <w:snapToGrid w:val="0"/>
      <w:jc w:val="left"/>
    </w:pPr>
    <w:rPr>
      <w:sz w:val="18"/>
      <w:szCs w:val="18"/>
    </w:rPr>
  </w:style>
  <w:style w:type="paragraph" w:styleId="21">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unhideWhenUsed/>
    <w:qFormat/>
    <w:uiPriority w:val="39"/>
    <w:pPr>
      <w:spacing w:before="120" w:after="120"/>
      <w:jc w:val="left"/>
    </w:pPr>
    <w:rPr>
      <w:rFonts w:cstheme="minorHAnsi"/>
      <w:b/>
      <w:bCs/>
      <w:caps/>
      <w:sz w:val="20"/>
      <w:szCs w:val="20"/>
    </w:rPr>
  </w:style>
  <w:style w:type="paragraph" w:styleId="23">
    <w:name w:val="toc 4"/>
    <w:basedOn w:val="1"/>
    <w:next w:val="1"/>
    <w:unhideWhenUsed/>
    <w:qFormat/>
    <w:uiPriority w:val="39"/>
    <w:pPr>
      <w:ind w:left="630"/>
      <w:jc w:val="left"/>
    </w:pPr>
    <w:rPr>
      <w:rFonts w:cstheme="minorHAnsi"/>
      <w:sz w:val="18"/>
      <w:szCs w:val="18"/>
    </w:rPr>
  </w:style>
  <w:style w:type="paragraph" w:styleId="24">
    <w:name w:val="toc 6"/>
    <w:basedOn w:val="1"/>
    <w:next w:val="1"/>
    <w:unhideWhenUsed/>
    <w:qFormat/>
    <w:uiPriority w:val="39"/>
    <w:pPr>
      <w:ind w:left="1050"/>
      <w:jc w:val="left"/>
    </w:pPr>
    <w:rPr>
      <w:rFonts w:cstheme="minorHAnsi"/>
      <w:sz w:val="18"/>
      <w:szCs w:val="18"/>
    </w:rPr>
  </w:style>
  <w:style w:type="paragraph" w:styleId="25">
    <w:name w:val="toc 2"/>
    <w:basedOn w:val="1"/>
    <w:next w:val="1"/>
    <w:unhideWhenUsed/>
    <w:qFormat/>
    <w:uiPriority w:val="39"/>
    <w:pPr>
      <w:ind w:left="210"/>
      <w:jc w:val="left"/>
    </w:pPr>
    <w:rPr>
      <w:rFonts w:cstheme="minorHAnsi"/>
      <w:smallCaps/>
      <w:sz w:val="20"/>
      <w:szCs w:val="20"/>
    </w:rPr>
  </w:style>
  <w:style w:type="paragraph" w:styleId="26">
    <w:name w:val="toc 9"/>
    <w:basedOn w:val="1"/>
    <w:next w:val="1"/>
    <w:unhideWhenUsed/>
    <w:qFormat/>
    <w:uiPriority w:val="39"/>
    <w:pPr>
      <w:ind w:left="1680"/>
      <w:jc w:val="left"/>
    </w:pPr>
    <w:rPr>
      <w:rFonts w:cstheme="minorHAnsi"/>
      <w:sz w:val="18"/>
      <w:szCs w:val="18"/>
    </w:rPr>
  </w:style>
  <w:style w:type="paragraph" w:styleId="27">
    <w:name w:val="Normal (Web)"/>
    <w:basedOn w:val="1"/>
    <w:qFormat/>
    <w:uiPriority w:val="0"/>
    <w:pPr>
      <w:widowControl/>
      <w:spacing w:before="100" w:beforeAutospacing="1" w:after="100" w:afterAutospacing="1" w:line="240" w:lineRule="auto"/>
      <w:jc w:val="left"/>
    </w:pPr>
    <w:rPr>
      <w:rFonts w:ascii="宋体" w:hAnsi="宋体" w:eastAsia="宋体" w:cs="Times New Roman"/>
      <w:kern w:val="0"/>
      <w:sz w:val="24"/>
      <w:szCs w:val="24"/>
    </w:rPr>
  </w:style>
  <w:style w:type="paragraph" w:styleId="28">
    <w:name w:val="Title"/>
    <w:basedOn w:val="1"/>
    <w:link w:val="47"/>
    <w:qFormat/>
    <w:uiPriority w:val="0"/>
    <w:pPr>
      <w:adjustRightInd w:val="0"/>
      <w:spacing w:before="240" w:after="60" w:line="420" w:lineRule="atLeast"/>
      <w:jc w:val="center"/>
      <w:textAlignment w:val="baseline"/>
      <w:outlineLvl w:val="0"/>
    </w:pPr>
    <w:rPr>
      <w:rFonts w:ascii="Arial" w:hAnsi="Arial" w:eastAsia="宋体" w:cs="Times New Roman"/>
      <w:b/>
      <w:kern w:val="0"/>
      <w:sz w:val="32"/>
      <w:szCs w:val="20"/>
    </w:rPr>
  </w:style>
  <w:style w:type="paragraph" w:styleId="29">
    <w:name w:val="Body Text First Indent"/>
    <w:basedOn w:val="12"/>
    <w:next w:val="30"/>
    <w:qFormat/>
    <w:uiPriority w:val="99"/>
    <w:pPr>
      <w:tabs>
        <w:tab w:val="left" w:pos="560"/>
        <w:tab w:val="left" w:pos="3920"/>
        <w:tab w:val="left" w:pos="5600"/>
      </w:tabs>
      <w:ind w:firstLine="480"/>
      <w:textAlignment w:val="baseline"/>
    </w:pPr>
  </w:style>
  <w:style w:type="paragraph" w:styleId="30">
    <w:name w:val="Body Text First Indent 2"/>
    <w:basedOn w:val="13"/>
    <w:link w:val="55"/>
    <w:semiHidden/>
    <w:unhideWhenUsed/>
    <w:qFormat/>
    <w:uiPriority w:val="99"/>
    <w:pPr>
      <w:spacing w:after="120" w:line="520" w:lineRule="exact"/>
      <w:ind w:left="420" w:leftChars="200" w:firstLine="420" w:firstLineChars="200"/>
    </w:pPr>
    <w:rPr>
      <w:rFonts w:asciiTheme="minorHAnsi" w:hAnsiTheme="minorHAnsi" w:eastAsiaTheme="minorEastAsia" w:cstheme="minorBidi"/>
      <w:sz w:val="21"/>
      <w:szCs w:val="22"/>
    </w:rPr>
  </w:style>
  <w:style w:type="table" w:styleId="32">
    <w:name w:val="Table Grid"/>
    <w:basedOn w:val="3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4">
    <w:name w:val="Strong"/>
    <w:qFormat/>
    <w:uiPriority w:val="22"/>
    <w:rPr>
      <w:b/>
    </w:rPr>
  </w:style>
  <w:style w:type="character" w:styleId="35">
    <w:name w:val="Hyperlink"/>
    <w:basedOn w:val="33"/>
    <w:unhideWhenUsed/>
    <w:qFormat/>
    <w:uiPriority w:val="99"/>
    <w:rPr>
      <w:color w:val="0000FF" w:themeColor="hyperlink"/>
      <w:u w:val="single"/>
      <w14:textFill>
        <w14:solidFill>
          <w14:schemeClr w14:val="hlink"/>
        </w14:solidFill>
      </w14:textFill>
    </w:rPr>
  </w:style>
  <w:style w:type="paragraph" w:customStyle="1" w:styleId="36">
    <w:name w:val="表格文字"/>
    <w:basedOn w:val="16"/>
    <w:next w:val="12"/>
    <w:qFormat/>
    <w:uiPriority w:val="0"/>
    <w:pPr>
      <w:adjustRightInd w:val="0"/>
      <w:spacing w:line="420" w:lineRule="atLeast"/>
      <w:textAlignment w:val="baseline"/>
    </w:pPr>
    <w:rPr>
      <w:rFonts w:ascii="宋体" w:hAnsi="宋体" w:cs="宋体"/>
      <w:kern w:val="0"/>
      <w:sz w:val="20"/>
      <w:szCs w:val="21"/>
    </w:rPr>
  </w:style>
  <w:style w:type="character" w:customStyle="1" w:styleId="37">
    <w:name w:val="标题 1 Char"/>
    <w:basedOn w:val="33"/>
    <w:link w:val="4"/>
    <w:qFormat/>
    <w:uiPriority w:val="9"/>
    <w:rPr>
      <w:b/>
      <w:bCs/>
      <w:kern w:val="44"/>
      <w:sz w:val="44"/>
      <w:szCs w:val="44"/>
    </w:rPr>
  </w:style>
  <w:style w:type="character" w:customStyle="1" w:styleId="38">
    <w:name w:val="标题 2 Char"/>
    <w:basedOn w:val="33"/>
    <w:link w:val="5"/>
    <w:qFormat/>
    <w:uiPriority w:val="9"/>
    <w:rPr>
      <w:rFonts w:asciiTheme="majorHAnsi" w:hAnsiTheme="majorHAnsi" w:eastAsiaTheme="majorEastAsia" w:cstheme="majorBidi"/>
      <w:b/>
      <w:bCs/>
      <w:sz w:val="32"/>
      <w:szCs w:val="32"/>
    </w:rPr>
  </w:style>
  <w:style w:type="character" w:customStyle="1" w:styleId="39">
    <w:name w:val="标题 3 Char"/>
    <w:basedOn w:val="33"/>
    <w:link w:val="6"/>
    <w:qFormat/>
    <w:uiPriority w:val="9"/>
    <w:rPr>
      <w:b/>
      <w:bCs/>
      <w:sz w:val="32"/>
      <w:szCs w:val="32"/>
    </w:rPr>
  </w:style>
  <w:style w:type="character" w:customStyle="1" w:styleId="40">
    <w:name w:val="标题 4 Char"/>
    <w:basedOn w:val="33"/>
    <w:link w:val="7"/>
    <w:qFormat/>
    <w:uiPriority w:val="9"/>
    <w:rPr>
      <w:rFonts w:asciiTheme="majorHAnsi" w:hAnsiTheme="majorHAnsi" w:eastAsiaTheme="majorEastAsia" w:cstheme="majorBidi"/>
      <w:b/>
      <w:bCs/>
      <w:sz w:val="28"/>
      <w:szCs w:val="28"/>
    </w:rPr>
  </w:style>
  <w:style w:type="character" w:customStyle="1" w:styleId="41">
    <w:name w:val="正文缩进 Char"/>
    <w:link w:val="9"/>
    <w:qFormat/>
    <w:uiPriority w:val="0"/>
    <w:rPr>
      <w:szCs w:val="24"/>
    </w:rPr>
  </w:style>
  <w:style w:type="character" w:customStyle="1" w:styleId="42">
    <w:name w:val="文档结构图 Char"/>
    <w:basedOn w:val="33"/>
    <w:link w:val="10"/>
    <w:semiHidden/>
    <w:qFormat/>
    <w:uiPriority w:val="99"/>
    <w:rPr>
      <w:rFonts w:ascii="宋体" w:eastAsia="宋体"/>
      <w:sz w:val="18"/>
      <w:szCs w:val="18"/>
    </w:rPr>
  </w:style>
  <w:style w:type="character" w:customStyle="1" w:styleId="43">
    <w:name w:val="日期 Char"/>
    <w:basedOn w:val="33"/>
    <w:link w:val="18"/>
    <w:semiHidden/>
    <w:qFormat/>
    <w:uiPriority w:val="99"/>
  </w:style>
  <w:style w:type="character" w:customStyle="1" w:styleId="44">
    <w:name w:val="批注框文本 Char"/>
    <w:basedOn w:val="33"/>
    <w:link w:val="19"/>
    <w:semiHidden/>
    <w:qFormat/>
    <w:uiPriority w:val="99"/>
    <w:rPr>
      <w:rFonts w:asciiTheme="minorHAnsi" w:hAnsiTheme="minorHAnsi" w:eastAsiaTheme="minorEastAsia" w:cstheme="minorBidi"/>
      <w:kern w:val="2"/>
      <w:sz w:val="18"/>
      <w:szCs w:val="18"/>
    </w:rPr>
  </w:style>
  <w:style w:type="character" w:customStyle="1" w:styleId="45">
    <w:name w:val="页脚 Char"/>
    <w:basedOn w:val="33"/>
    <w:link w:val="20"/>
    <w:qFormat/>
    <w:uiPriority w:val="99"/>
    <w:rPr>
      <w:sz w:val="18"/>
      <w:szCs w:val="18"/>
    </w:rPr>
  </w:style>
  <w:style w:type="character" w:customStyle="1" w:styleId="46">
    <w:name w:val="页眉 Char"/>
    <w:basedOn w:val="33"/>
    <w:link w:val="21"/>
    <w:semiHidden/>
    <w:qFormat/>
    <w:uiPriority w:val="99"/>
    <w:rPr>
      <w:sz w:val="18"/>
      <w:szCs w:val="18"/>
    </w:rPr>
  </w:style>
  <w:style w:type="character" w:customStyle="1" w:styleId="47">
    <w:name w:val="标题 Char"/>
    <w:basedOn w:val="33"/>
    <w:link w:val="28"/>
    <w:qFormat/>
    <w:uiPriority w:val="0"/>
    <w:rPr>
      <w:rFonts w:ascii="Arial" w:hAnsi="Arial" w:eastAsia="宋体" w:cs="Times New Roman"/>
      <w:b/>
      <w:kern w:val="0"/>
      <w:sz w:val="32"/>
      <w:szCs w:val="20"/>
    </w:rPr>
  </w:style>
  <w:style w:type="character" w:customStyle="1" w:styleId="48">
    <w:name w:val="标题 3 Char Char2"/>
    <w:qFormat/>
    <w:uiPriority w:val="0"/>
    <w:rPr>
      <w:rFonts w:eastAsia="华文仿宋"/>
      <w:b/>
      <w:bCs/>
      <w:kern w:val="2"/>
      <w:sz w:val="28"/>
      <w:szCs w:val="32"/>
      <w:lang w:val="en-US" w:eastAsia="zh-CN" w:bidi="ar-SA"/>
    </w:rPr>
  </w:style>
  <w:style w:type="character" w:customStyle="1" w:styleId="49">
    <w:name w:val="正文文本缩进 Char"/>
    <w:basedOn w:val="33"/>
    <w:link w:val="13"/>
    <w:qFormat/>
    <w:uiPriority w:val="0"/>
    <w:rPr>
      <w:kern w:val="2"/>
      <w:sz w:val="24"/>
      <w:szCs w:val="24"/>
    </w:rPr>
  </w:style>
  <w:style w:type="paragraph" w:styleId="50">
    <w:name w:val="List Paragraph"/>
    <w:basedOn w:val="1"/>
    <w:qFormat/>
    <w:uiPriority w:val="34"/>
    <w:pPr>
      <w:spacing w:line="240" w:lineRule="auto"/>
      <w:ind w:firstLine="420" w:firstLineChars="200"/>
    </w:pPr>
    <w:rPr>
      <w:rFonts w:ascii="Times New Roman" w:hAnsi="Times New Roman" w:eastAsia="宋体" w:cs="Times New Roman"/>
      <w:szCs w:val="20"/>
    </w:rPr>
  </w:style>
  <w:style w:type="character" w:customStyle="1" w:styleId="51">
    <w:name w:val="正文文本 Char"/>
    <w:basedOn w:val="33"/>
    <w:link w:val="12"/>
    <w:semiHidden/>
    <w:qFormat/>
    <w:uiPriority w:val="99"/>
    <w:rPr>
      <w:rFonts w:asciiTheme="minorHAnsi" w:hAnsiTheme="minorHAnsi" w:eastAsiaTheme="minorEastAsia" w:cstheme="minorBidi"/>
      <w:kern w:val="2"/>
      <w:sz w:val="21"/>
      <w:szCs w:val="22"/>
    </w:rPr>
  </w:style>
  <w:style w:type="character" w:customStyle="1" w:styleId="52">
    <w:name w:val="apple-converted-space"/>
    <w:basedOn w:val="33"/>
    <w:qFormat/>
    <w:uiPriority w:val="0"/>
    <w:rPr>
      <w:rFonts w:ascii="Times New Roman" w:hAnsi="Times New Roman" w:eastAsia="宋体" w:cs="Times New Roman"/>
    </w:rPr>
  </w:style>
  <w:style w:type="paragraph" w:customStyle="1" w:styleId="53">
    <w:name w:val="p0"/>
    <w:basedOn w:val="1"/>
    <w:qFormat/>
    <w:uiPriority w:val="0"/>
    <w:pPr>
      <w:widowControl/>
      <w:spacing w:line="240" w:lineRule="auto"/>
    </w:pPr>
    <w:rPr>
      <w:rFonts w:ascii="Times New Roman" w:hAnsi="Times New Roman" w:eastAsia="宋体" w:cs="Times New Roman"/>
      <w:kern w:val="0"/>
      <w:szCs w:val="20"/>
    </w:rPr>
  </w:style>
  <w:style w:type="paragraph" w:customStyle="1" w:styleId="54">
    <w:name w:val="正文_1_0"/>
    <w:qFormat/>
    <w:uiPriority w:val="0"/>
    <w:pPr>
      <w:widowControl w:val="0"/>
      <w:spacing w:line="520" w:lineRule="exact"/>
      <w:jc w:val="both"/>
    </w:pPr>
    <w:rPr>
      <w:rFonts w:ascii="Calibri" w:hAnsi="Calibri" w:eastAsia="宋体" w:cs="Times New Roman"/>
      <w:kern w:val="2"/>
      <w:sz w:val="21"/>
      <w:szCs w:val="22"/>
      <w:lang w:val="en-US" w:eastAsia="zh-CN" w:bidi="ar-SA"/>
    </w:rPr>
  </w:style>
  <w:style w:type="character" w:customStyle="1" w:styleId="55">
    <w:name w:val="正文首行缩进 2 Char"/>
    <w:basedOn w:val="49"/>
    <w:link w:val="30"/>
    <w:semiHidden/>
    <w:qFormat/>
    <w:uiPriority w:val="99"/>
    <w:rPr>
      <w:rFonts w:asciiTheme="minorHAnsi" w:hAnsiTheme="minorHAnsi" w:eastAsiaTheme="minorEastAsia" w:cstheme="minorBidi"/>
      <w:kern w:val="2"/>
      <w:sz w:val="21"/>
      <w:szCs w:val="22"/>
    </w:rPr>
  </w:style>
  <w:style w:type="paragraph" w:customStyle="1" w:styleId="56">
    <w:name w:val="Default"/>
    <w:qFormat/>
    <w:uiPriority w:val="99"/>
    <w:pPr>
      <w:widowControl w:val="0"/>
      <w:autoSpaceDE w:val="0"/>
      <w:autoSpaceDN w:val="0"/>
      <w:adjustRightInd w:val="0"/>
    </w:pPr>
    <w:rPr>
      <w:rFonts w:ascii="ËÎÌå..îE.." w:hAnsi="ËÎÌå..îE.." w:eastAsia="宋体" w:cs="ËÎÌå..îE.."/>
      <w:color w:val="000000"/>
      <w:sz w:val="24"/>
      <w:szCs w:val="24"/>
      <w:lang w:val="en-US" w:eastAsia="zh-CN" w:bidi="ar-SA"/>
    </w:rPr>
  </w:style>
  <w:style w:type="character" w:customStyle="1" w:styleId="57">
    <w:name w:val="批注文字 Char"/>
    <w:link w:val="11"/>
    <w:qFormat/>
    <w:uiPriority w:val="0"/>
    <w:rPr>
      <w:kern w:val="2"/>
      <w:sz w:val="21"/>
      <w:szCs w:val="24"/>
    </w:rPr>
  </w:style>
  <w:style w:type="character" w:customStyle="1" w:styleId="58">
    <w:name w:val="批注文字 字符1"/>
    <w:basedOn w:val="33"/>
    <w:semiHidden/>
    <w:qFormat/>
    <w:uiPriority w:val="99"/>
    <w:rPr>
      <w:rFonts w:asciiTheme="minorHAnsi" w:hAnsiTheme="minorHAnsi" w:eastAsiaTheme="minorEastAsia" w:cstheme="minorBidi"/>
      <w:kern w:val="2"/>
      <w:sz w:val="21"/>
      <w:szCs w:val="22"/>
    </w:rPr>
  </w:style>
  <w:style w:type="character" w:customStyle="1" w:styleId="59">
    <w:name w:val="15"/>
    <w:qFormat/>
    <w:uiPriority w:val="0"/>
    <w:rPr>
      <w:rFonts w:hint="default" w:ascii="Times New Roman" w:hAnsi="Times New Roman" w:cs="Times New Roman"/>
      <w:b/>
      <w:bCs/>
    </w:rPr>
  </w:style>
  <w:style w:type="paragraph" w:customStyle="1" w:styleId="60">
    <w:name w:val="正文文本_0"/>
    <w:basedOn w:val="61"/>
    <w:qFormat/>
    <w:uiPriority w:val="0"/>
    <w:pPr>
      <w:spacing w:after="120" w:line="240" w:lineRule="auto"/>
    </w:pPr>
    <w:rPr>
      <w:rFonts w:ascii="Times New Roman" w:hAnsi="Times New Roman"/>
      <w:kern w:val="0"/>
      <w:sz w:val="20"/>
      <w:szCs w:val="24"/>
    </w:rPr>
  </w:style>
  <w:style w:type="paragraph" w:customStyle="1" w:styleId="61">
    <w:name w:val="正文_2"/>
    <w:next w:val="6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
    <w:name w:val="样式1"/>
    <w:basedOn w:val="1"/>
    <w:next w:val="1"/>
    <w:qFormat/>
    <w:uiPriority w:val="0"/>
    <w:pPr>
      <w:keepNext/>
      <w:keepLines/>
      <w:adjustRightInd w:val="0"/>
      <w:snapToGrid w:val="0"/>
      <w:jc w:val="center"/>
      <w:outlineLvl w:val="0"/>
    </w:pPr>
    <w:rPr>
      <w:rFonts w:hint="default" w:asciiTheme="minorAscii" w:hAnsiTheme="minorAscii"/>
      <w:b/>
      <w:bCs/>
      <w:kern w:val="44"/>
      <w:sz w:val="36"/>
      <w:szCs w:val="36"/>
    </w:rPr>
  </w:style>
  <w:style w:type="paragraph" w:customStyle="1" w:styleId="63">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ef5bdb76-b015-4302-a8e5-062ec4cabdd6</errorID>
      <errorWord>:</errorWord>
      <group>L1_Format</group>
      <groupName>格式问题</groupName>
      <ability>L2_HalfPunc</ability>
      <abilityName>全半角检查</abilityName>
      <candidateList>
        <item>：</item>
      </candidateList>
      <explain>文本全半角错误。</explain>
      <paraID> 1A2DC51</paraID>
      <start>10</start>
      <end>11</end>
      <status>modified</status>
      <modifiedWord>：</modifiedWord>
      <trackRevisions>false</trackRevisions>
    </reviewItem>
    <reviewItem>
      <errorID>1cc41a6f-14aa-4ccf-b942-dc81ace27e27</errorID>
      <errorWord>:</errorWord>
      <group>L1_Format</group>
      <groupName>格式问题</groupName>
      <ability>L2_HalfPunc</ability>
      <abilityName>全半角检查</abilityName>
      <candidateList>
        <item>：</item>
      </candidateList>
      <explain>文本全半角错误。</explain>
      <paraID> 336E8B9</paraID>
      <start>4</start>
      <end>5</end>
      <status>ignored</status>
      <modifiedWord/>
      <trackRevisions>false</trackRevisions>
    </reviewItem>
    <reviewItem>
      <errorID>c040822b-9ed4-4d2a-9f50-3b7379fbfa7e</errorID>
      <errorWord>其他的</errorWord>
      <group>L1_Word</group>
      <groupName>字词问题</groupName>
      <ability>L2_Typo</ability>
      <abilityName>字词错误</abilityName>
      <candidateList>
        <item>其他</item>
      </candidateList>
      <explain/>
      <paraID>7819D258</paraID>
      <start>40</start>
      <end>43</end>
      <status>unmodified</status>
      <modifiedWord/>
      <trackRevisions>false</trackRevisions>
    </reviewItem>
    <reviewItem>
      <errorID>6f3a6bfc-736c-4f56-a03f-3bcfd8dbb8f4</errorID>
      <errorWord>JB</errorWord>
      <group>L1_Sensitive</group>
      <groupName>敏感问题</groupName>
      <ability>L2_Abuse</ability>
      <abilityName>侮辱言辞</abilityName>
      <candidateList/>
      <explain>【侮辱言辞】句中涉及侮辱性的敏感内容，请注意甄别。</explain>
      <paraID>  E71191</paraID>
      <start>16</start>
      <end>18</end>
      <status>ignored</status>
      <modifiedWord/>
      <trackRevisions>false</trackRevisions>
    </reviewItem>
    <reviewItem>
      <errorID>d8c7fc7a-ba89-4549-8dea-ce28a9060812</errorID>
      <errorWord>做</errorWord>
      <group>L1_Word</group>
      <groupName>字词问题</groupName>
      <ability>L2_Typo</ability>
      <abilityName>字词错误</abilityName>
      <candidateList>
        <item>作</item>
      </candidateList>
      <explain>存在发音相同字词的误用。</explain>
      <paraID>45E20989</paraID>
      <start>20</start>
      <end>21</end>
      <status>unmodified</status>
      <modifiedWord/>
      <trackRevisions>false</trackRevisions>
    </reviewItem>
    <reviewItem>
      <errorID>c8c73f53-4bd8-4d24-8401-40ecbdb51f01</errorID>
      <errorWord>联接</errorWord>
      <group>L1_Word</group>
      <groupName>字词问题</groupName>
      <ability>L2_Typo</ability>
      <abilityName>字词错误</abilityName>
      <candidateList>
        <item>连接</item>
      </candidateList>
      <explain>存在发音相同字词的误用。</explain>
      <paraID>391B82DC</paraID>
      <start>7</start>
      <end>9</end>
      <status>ignored</status>
      <modifiedWord/>
      <trackRevisions>false</trackRevisions>
    </reviewItem>
    <reviewItem>
      <errorID>e10074df-b43b-4015-aef7-61c07b024416</errorID>
      <errorWord>(</errorWord>
      <group>L1_Format</group>
      <groupName>格式问题</groupName>
      <ability>L2_HalfPunc</ability>
      <abilityName>全半角检查</abilityName>
      <candidateList>
        <item>（</item>
      </candidateList>
      <explain>文本全半角错误。</explain>
      <paraID>1358F89B</paraID>
      <start>27</start>
      <end>28</end>
      <status>ignored</status>
      <modifiedWord/>
      <trackRevisions>false</trackRevisions>
    </reviewItem>
    <reviewItem>
      <errorID>07b58466-0b9f-4af7-822e-7f094cad3efa</errorID>
      <errorWord>)</errorWord>
      <group>L1_Format</group>
      <groupName>格式问题</groupName>
      <ability>L2_HalfPunc</ability>
      <abilityName>全半角检查</abilityName>
      <candidateList>
        <item>）</item>
      </candidateList>
      <explain>文本全半角错误。</explain>
      <paraID>1358F89B</paraID>
      <start>34</start>
      <end>35</end>
      <status>ignored</status>
      <modifiedWord/>
      <trackRevisions>false</trackRevisions>
    </reviewItem>
    <reviewItem>
      <errorID>3748aa41-2da3-4897-b47b-a388453f5ba7</errorID>
      <errorWord>JB</errorWord>
      <group>L1_Sensitive</group>
      <groupName>敏感问题</groupName>
      <ability>L2_Abuse</ability>
      <abilityName>侮辱言辞</abilityName>
      <candidateList/>
      <explain>【侮辱言辞】句中涉及侮辱性的敏感内容，请注意甄别。</explain>
      <paraID>1803AB12</paraID>
      <start>16</start>
      <end>18</end>
      <status>ignored</status>
      <modifiedWord/>
      <trackRevisions>false</trackRevisions>
    </reviewItem>
    <reviewItem>
      <errorID>ceba6ef4-6a90-4c2e-a1c0-6d6bc9c42b5b</errorID>
      <errorWord>(</errorWord>
      <group>L1_Format</group>
      <groupName>格式问题</groupName>
      <ability>L2_HalfPunc</ability>
      <abilityName>全半角检查</abilityName>
      <candidateList>
        <item>（</item>
      </candidateList>
      <explain>文本全半角错误。</explain>
      <paraID>39C31555</paraID>
      <start>34</start>
      <end>35</end>
      <status>unmodified</status>
      <modifiedWord/>
      <trackRevisions>false</trackRevisions>
    </reviewItem>
    <reviewItem>
      <errorID>a14f59c5-936e-495d-b1da-8850aafc3122</errorID>
      <errorWord>)</errorWord>
      <group>L1_Format</group>
      <groupName>格式问题</groupName>
      <ability>L2_HalfPunc</ability>
      <abilityName>全半角检查</abilityName>
      <candidateList>
        <item>）</item>
      </candidateList>
      <explain>文本全半角错误。</explain>
      <paraID>39C31555</paraID>
      <start>38</start>
      <end>39</end>
      <status>ignored</status>
      <modifiedWord/>
      <trackRevisions>false</trackRevisions>
    </reviewItem>
    <reviewItem>
      <errorID>2e073849-446d-40d2-8fc7-3a00461c0ed1</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39C31555</paraID>
      <start>39</start>
      <end>42</end>
      <status>ignored</status>
      <modifiedWord/>
      <trackRevisions>false</trackRevisions>
    </reviewItem>
    <reviewItem>
      <errorID>549ebd5f-c576-4217-9aaa-9a7020a15a4d</errorID>
      <errorWord>须</errorWord>
      <group>L1_Word</group>
      <groupName>字词问题</groupName>
      <ability>L2_Typo</ability>
      <abilityName>字词错误</abilityName>
      <candidateList>
        <item>需</item>
      </candidateList>
      <explain/>
      <paraID>331722C8</paraID>
      <start>14</start>
      <end>15</end>
      <status>unmodified</status>
      <modifiedWord/>
      <trackRevisions>false</trackRevisions>
    </reviewItem>
    <reviewItem>
      <errorID>b6c31cda-2569-4069-b41c-92d4a4837367</errorID>
      <errorWord>“O”型</errorWord>
      <group>L1_Word</group>
      <groupName>字词问题</groupName>
      <ability>L2_Typo</ability>
      <abilityName>字词错误</abilityName>
      <candidateList>
        <item>“O”形</item>
      </candidateList>
      <explain/>
      <paraID>41BCE92E</paraID>
      <start>18</start>
      <end>22</end>
      <status>unmodified</status>
      <modifiedWord/>
      <trackRevisions>false</trackRevisions>
    </reviewItem>
    <reviewItem>
      <errorID>3aaf9c6a-ae24-45dd-a559-b73aa5c9da68</errorID>
      <errorWord>“O”型</errorWord>
      <group>L1_Word</group>
      <groupName>字词问题</groupName>
      <ability>L2_Typo</ability>
      <abilityName>字词错误</abilityName>
      <candidateList>
        <item>“O”形</item>
      </candidateList>
      <explain/>
      <paraID>41BCE92E</paraID>
      <start>63</start>
      <end>67</end>
      <status>ignored</status>
      <modifiedWord/>
      <trackRevisions>false</trackRevisions>
    </reviewItem>
    <reviewItem>
      <errorID>edf7f784-3f9f-44fd-ab26-f6f903930780</errorID>
      <errorWord>JB</errorWord>
      <group>L1_Sensitive</group>
      <groupName>敏感问题</groupName>
      <ability>L2_Abuse</ability>
      <abilityName>侮辱言辞</abilityName>
      <candidateList/>
      <explain>【侮辱言辞】句中涉及侮辱性的敏感内容，请注意甄别。</explain>
      <paraID>7DBDA0AA</paraID>
      <start>16</start>
      <end>18</end>
      <status>ignored</status>
      <modifiedWord/>
      <trackRevisions>false</trackRevisions>
    </reviewItem>
    <reviewItem>
      <errorID>481c03be-c3df-44a1-a66d-629354aa93c4</errorID>
      <errorWord>(</errorWord>
      <group>L1_Format</group>
      <groupName>格式问题</groupName>
      <ability>L2_HalfPunc</ability>
      <abilityName>全半角检查</abilityName>
      <candidateList>
        <item>（</item>
      </candidateList>
      <explain>文本全半角错误。</explain>
      <paraID> 79EF1DA</paraID>
      <start>34</start>
      <end>35</end>
      <status>unmodified</status>
      <modifiedWord/>
      <trackRevisions>false</trackRevisions>
    </reviewItem>
    <reviewItem>
      <errorID>7f6ed99a-1bf7-4cd9-b763-9c11208fe07a</errorID>
      <errorWord>)</errorWord>
      <group>L1_Format</group>
      <groupName>格式问题</groupName>
      <ability>L2_HalfPunc</ability>
      <abilityName>全半角检查</abilityName>
      <candidateList>
        <item>）</item>
      </candidateList>
      <explain>文本全半角错误。</explain>
      <paraID> 79EF1DA</paraID>
      <start>38</start>
      <end>39</end>
      <status>ignored</status>
      <modifiedWord/>
      <trackRevisions>false</trackRevisions>
    </reviewItem>
    <reviewItem>
      <errorID>0b6b50bc-917c-46c8-ae16-e791af355d42</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 79EF1DA</paraID>
      <start>39</start>
      <end>42</end>
      <status>ignored</status>
      <modifiedWord/>
      <trackRevisions>false</trackRevisions>
    </reviewItem>
    <reviewItem>
      <errorID>d71472e2-46e8-48a1-8f98-6115aa5c754b</errorID>
      <errorWord>）在</errorWord>
      <group>L1_Word</group>
      <groupName>字词问题</groupName>
      <ability>L2_Typo</ability>
      <abilityName>字词错误</abilityName>
      <candidateList>
        <item>）</item>
      </candidateList>
      <explain/>
      <paraID>5E0590DA</paraID>
      <start>1</start>
      <end>3</end>
      <status>unmodified</status>
      <modifiedWord/>
      <trackRevisions>false</trackRevisions>
    </reviewItem>
    <reviewItem>
      <errorID>482148c3-8f0a-4d20-ae1c-30bcc5288b24</errorID>
      <errorWord>其它</errorWord>
      <group>L1_Word</group>
      <groupName>字词问题</groupName>
      <ability>L2_Alias</ability>
      <abilityName>也作/曾用词</abilityName>
      <candidateList>
        <item>其他</item>
      </candidateList>
      <explain>词汇[其它]为不规范表述或旧称，其规范书面表述为[其他]。</explain>
      <paraID>7621377E</paraID>
      <start>39</start>
      <end>41</end>
      <status>unmodified</status>
      <modifiedWord/>
      <trackRevisions>false</trackRevisions>
    </reviewItem>
    <reviewItem>
      <errorID>d5311dfa-bac8-46aa-8a98-a1b657e2eb6a</errorID>
      <errorWord>JB</errorWord>
      <group>L1_Sensitive</group>
      <groupName>敏感问题</groupName>
      <ability>L2_Abuse</ability>
      <abilityName>侮辱言辞</abilityName>
      <candidateList/>
      <explain>【侮辱言辞】句中涉及侮辱性的敏感内容，请注意甄别。</explain>
      <paraID>    FEFF</paraID>
      <start>16</start>
      <end>18</end>
      <status>ignored</status>
      <modifiedWord/>
      <trackRevisions>false</trackRevisions>
    </reviewItem>
    <reviewItem>
      <errorID>cfc59367-88ca-4b34-ad86-e50281b452c5</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7481E655</paraID>
      <start>38</start>
      <end>41</end>
      <status>ignored</status>
      <modifiedWord/>
      <trackRevisions>false</trackRevisions>
    </reviewItem>
    <reviewItem>
      <errorID>eb305198-73fd-4ae2-a6cc-b4faffc7440f</errorID>
      <errorWord>结构形</errorWord>
      <group>L1_Word</group>
      <groupName>字词问题</groupName>
      <ability>L2_Typo</ability>
      <abilityName>字词错误</abilityName>
      <candidateList>
        <item>结构型</item>
      </candidateList>
      <explain/>
      <paraID>782FE3C4</paraID>
      <start>14</start>
      <end>17</end>
      <status>ignored</status>
      <modifiedWord/>
      <trackRevisions>false</trackRevisions>
    </reviewItem>
    <reviewItem>
      <errorID>6f56d705-0bfa-42e0-a70f-b8bec9ebceb4</errorID>
      <errorWord>(</errorWord>
      <group>L1_Format</group>
      <groupName>格式问题</groupName>
      <ability>L2_HalfPunc</ability>
      <abilityName>全半角检查</abilityName>
      <candidateList>
        <item>（</item>
      </candidateList>
      <explain>文本全半角错误。</explain>
      <paraID> 4EA4C25</paraID>
      <start>9</start>
      <end>10</end>
      <status>ignored</status>
      <modifiedWord/>
      <trackRevisions>false</trackRevisions>
    </reviewItem>
    <reviewItem>
      <errorID>275578fc-b647-4cbb-a231-e26f03950c70</errorID>
      <errorWord>)</errorWord>
      <group>L1_Format</group>
      <groupName>格式问题</groupName>
      <ability>L2_HalfPunc</ability>
      <abilityName>全半角检查</abilityName>
      <candidateList>
        <item>）</item>
      </candidateList>
      <explain>文本全半角错误。</explain>
      <paraID> 4EA4C25</paraID>
      <start>11</start>
      <end>12</end>
      <status>ignored</status>
      <modifiedWord/>
      <trackRevisions>false</trackRevisions>
    </reviewItem>
    <reviewItem>
      <errorID>99cbafb3-5d28-437e-bfea-2bca1987ca75</errorID>
      <errorWord>(</errorWord>
      <group>L1_Format</group>
      <groupName>格式问题</groupName>
      <ability>L2_HalfPunc</ability>
      <abilityName>全半角检查</abilityName>
      <candidateList>
        <item>（</item>
      </candidateList>
      <explain>文本全半角错误。</explain>
      <paraID>34477A4A</paraID>
      <start>16</start>
      <end>17</end>
      <status>ignored</status>
      <modifiedWord/>
      <trackRevisions>false</trackRevisions>
    </reviewItem>
    <reviewItem>
      <errorID>c458a79e-51e6-4e11-b2da-4d33c63f69d1</errorID>
      <errorWord>)</errorWord>
      <group>L1_Format</group>
      <groupName>格式问题</groupName>
      <ability>L2_HalfPunc</ability>
      <abilityName>全半角检查</abilityName>
      <candidateList>
        <item>）</item>
      </candidateList>
      <explain>文本全半角错误。</explain>
      <paraID>34477A4A</paraID>
      <start>20</start>
      <end>21</end>
      <status>ignored</status>
      <modifiedWord/>
      <trackRevisions>false</trackRevisions>
    </reviewItem>
    <reviewItem>
      <errorID>be0a34de-dcd1-4325-9f55-a9ca207b2a6b</errorID>
      <errorWord>其它</errorWord>
      <group>L1_Word</group>
      <groupName>字词问题</groupName>
      <ability>L2_Alias</ability>
      <abilityName>也作/曾用词</abilityName>
      <candidateList>
        <item>其他</item>
      </candidateList>
      <explain>词汇[其它]为不规范表述或旧称，其规范书面表述为[其他]。</explain>
      <paraID>2FE0575A</paraID>
      <start>3</start>
      <end>5</end>
      <status>ignored</status>
      <modifiedWord/>
      <trackRevisions>false</trackRevisions>
    </reviewItem>
    <reviewItem>
      <errorID>40bc37a5-1834-443a-91a9-a8c64c6a6875</errorID>
      <errorWord>，则</errorWord>
      <group>L1_Word</group>
      <groupName>字词问题</groupName>
      <ability>L2_Typo</ability>
      <abilityName>字词错误</abilityName>
      <candidateList>
        <item>，</item>
      </candidateList>
      <explain/>
      <paraID>75A9B89E</paraID>
      <start>20</start>
      <end>22</end>
      <status>unmodified</status>
      <modifiedWord/>
      <trackRevisions>false</trackRevisions>
    </reviewItem>
    <reviewItem>
      <errorID>64f52999-3f11-4a63-bd8b-d031cdbfb77c</errorID>
      <errorWord>JB</errorWord>
      <group>L1_Sensitive</group>
      <groupName>敏感问题</groupName>
      <ability>L2_Abuse</ability>
      <abilityName>侮辱言辞</abilityName>
      <candidateList/>
      <explain>【侮辱言辞】句中涉及侮辱性的敏感内容，请注意甄别。</explain>
      <paraID>754C4629</paraID>
      <start>16</start>
      <end>18</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428cae-6a60-48de-84db-912c13a1ee26}">
  <ds:schemaRefs/>
</ds:datastoreItem>
</file>

<file path=customXml/itemProps3.xml><?xml version="1.0" encoding="utf-8"?>
<ds:datastoreItem xmlns:ds="http://schemas.openxmlformats.org/officeDocument/2006/customXml" ds:itemID="{88DDF71A-C4D6-4066-BEF4-B8D0F4993B3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68</Pages>
  <Words>69</Words>
  <Characters>91</Characters>
  <Lines>143</Lines>
  <Paragraphs>40</Paragraphs>
  <TotalTime>23</TotalTime>
  <ScaleCrop>false</ScaleCrop>
  <LinksUpToDate>false</LinksUpToDate>
  <CharactersWithSpaces>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2020-10-26T00:50:00Z</dcterms:created>
  <dc:creator>ms-zb</dc:creator>
  <cp:lastModifiedBy>茉茉</cp:lastModifiedBy>
  <cp:lastPrinted>2026-07-29T07:51:13Z</cp:lastPrinted>
  <dcterms:modified xsi:type="dcterms:W3CDTF">2026-07-29T07:56:35Z</dcterms:modified>
  <cp:revision>401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A2A269B63BD44992B885D005CC854C6C_13</vt:lpwstr>
  </property>
  <property fmtid="{D5CDD505-2E9C-101B-9397-08002B2CF9AE}" pid="4" name="KSOTemplateDocerSaveRecord">
    <vt:lpwstr>eyJoZGlkIjoiNDRmY2RmMWUwYTYyYWI1MGVkOGRkYzg4MmRhYzhjYTkiLCJ1c2VySWQiOiI5NDIyOTIxMTQifQ==</vt:lpwstr>
  </property>
</Properties>
</file>